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08" w:rsidRPr="00FB670C" w:rsidRDefault="00D05E08" w:rsidP="00D05E08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</w:t>
      </w:r>
      <w:r w:rsidRPr="00FB670C">
        <w:rPr>
          <w:rFonts w:ascii="Calibri" w:hAnsi="Calibri" w:cs="Calibri"/>
        </w:rPr>
        <w:t xml:space="preserve"> </w:t>
      </w:r>
      <w:hyperlink r:id="rId6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85347A">
          <w:rPr>
            <w:rFonts w:ascii="Calibri" w:hAnsi="Calibri" w:cs="Calibri"/>
            <w:color w:val="0000FF"/>
          </w:rPr>
          <w:fldChar w:fldCharType="begin"/>
        </w:r>
        <w:r w:rsidR="0085347A">
          <w:rPr>
            <w:rFonts w:ascii="Calibri" w:hAnsi="Calibri" w:cs="Calibri"/>
            <w:color w:val="0000FF"/>
          </w:rPr>
          <w:instrText xml:space="preserve"> </w:instrText>
        </w:r>
        <w:r w:rsidR="0085347A">
          <w:rPr>
            <w:rFonts w:ascii="Calibri" w:hAnsi="Calibri" w:cs="Calibri"/>
            <w:color w:val="0000FF"/>
          </w:rPr>
          <w:instrText>INCLUDEPICTURE  "http://upload.wikimedia.org/wikipedia/commons/thumb/c/c9/Coat_of_arms_of_Croatia.svg/220px-Coat_of_arms_of_Croatia.svg.png" \* MERGEFORMATINET</w:instrText>
        </w:r>
        <w:r w:rsidR="0085347A">
          <w:rPr>
            <w:rFonts w:ascii="Calibri" w:hAnsi="Calibri" w:cs="Calibri"/>
            <w:color w:val="0000FF"/>
          </w:rPr>
          <w:instrText xml:space="preserve"> </w:instrText>
        </w:r>
        <w:r w:rsidR="0085347A">
          <w:rPr>
            <w:rFonts w:ascii="Calibri" w:hAnsi="Calibri" w:cs="Calibri"/>
            <w:color w:val="0000FF"/>
          </w:rPr>
          <w:fldChar w:fldCharType="separate"/>
        </w:r>
        <w:r w:rsidR="0085347A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7" r:href="rId8"/>
            </v:shape>
          </w:pict>
        </w:r>
        <w:r w:rsidR="0085347A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D05E08" w:rsidRPr="00FB670C" w:rsidRDefault="00D05E08" w:rsidP="00D05E08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D05E08" w:rsidRPr="00FB670C" w:rsidRDefault="00D05E08" w:rsidP="00D05E08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D05E08" w:rsidRPr="00FB670C" w:rsidRDefault="00D05E08" w:rsidP="00D05E08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D05E08" w:rsidRPr="00FB670C" w:rsidRDefault="00D05E08" w:rsidP="00D05E08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D05E08" w:rsidRDefault="00D05E08" w:rsidP="00D05E08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fldChar w:fldCharType="begin"/>
      </w:r>
      <w:r w:rsidRPr="00FB670C">
        <w:rPr>
          <w:rFonts w:ascii="Calibri" w:hAnsi="Calibri" w:cs="Calibri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</w:rPr>
        <w:fldChar w:fldCharType="separate"/>
      </w:r>
      <w:r w:rsidR="0085347A">
        <w:rPr>
          <w:rFonts w:ascii="Calibri" w:hAnsi="Calibri" w:cs="Calibri"/>
        </w:rPr>
        <w:fldChar w:fldCharType="begin"/>
      </w:r>
      <w:r w:rsidR="0085347A">
        <w:rPr>
          <w:rFonts w:ascii="Calibri" w:hAnsi="Calibri" w:cs="Calibri"/>
        </w:rPr>
        <w:instrText xml:space="preserve"> </w:instrText>
      </w:r>
      <w:r w:rsidR="0085347A">
        <w:rPr>
          <w:rFonts w:ascii="Calibri" w:hAnsi="Calibri" w:cs="Calibri"/>
        </w:rPr>
        <w:instrText>INCLUDEPICTURE  "http://www.opcinaluka.pondi.hr/images/grb_luka.gif" \* MERGEFORMATINET</w:instrText>
      </w:r>
      <w:r w:rsidR="0085347A">
        <w:rPr>
          <w:rFonts w:ascii="Calibri" w:hAnsi="Calibri" w:cs="Calibri"/>
        </w:rPr>
        <w:instrText xml:space="preserve"> </w:instrText>
      </w:r>
      <w:r w:rsidR="0085347A">
        <w:rPr>
          <w:rFonts w:ascii="Calibri" w:hAnsi="Calibri" w:cs="Calibri"/>
        </w:rPr>
        <w:fldChar w:fldCharType="separate"/>
      </w:r>
      <w:r w:rsidR="0085347A">
        <w:rPr>
          <w:rFonts w:ascii="Calibri" w:hAnsi="Calibri" w:cs="Calibri"/>
        </w:rPr>
        <w:pict>
          <v:shape id="_x0000_i1026" type="#_x0000_t75" style="width:29.25pt;height:37.5pt">
            <v:imagedata r:id="rId9" r:href="rId10"/>
          </v:shape>
        </w:pict>
      </w:r>
      <w:r w:rsidR="0085347A">
        <w:rPr>
          <w:rFonts w:ascii="Calibri" w:hAnsi="Calibri" w:cs="Calibri"/>
        </w:rPr>
        <w:fldChar w:fldCharType="end"/>
      </w:r>
      <w:r w:rsidRPr="00FB670C">
        <w:rPr>
          <w:rFonts w:ascii="Calibri" w:hAnsi="Calibri" w:cs="Calibri"/>
        </w:rPr>
        <w:fldChar w:fldCharType="end"/>
      </w:r>
    </w:p>
    <w:p w:rsidR="00D05E08" w:rsidRDefault="00D05E08" w:rsidP="00D05E08">
      <w:pPr>
        <w:rPr>
          <w:rFonts w:ascii="Calibri" w:hAnsi="Calibri" w:cs="Calibri"/>
        </w:rPr>
      </w:pPr>
    </w:p>
    <w:p w:rsidR="00D05E08" w:rsidRDefault="00D05E08" w:rsidP="00D05E08">
      <w:pPr>
        <w:rPr>
          <w:rFonts w:ascii="Calibri" w:hAnsi="Calibri" w:cs="Calibri"/>
        </w:rPr>
      </w:pPr>
      <w:r>
        <w:rPr>
          <w:rFonts w:ascii="Calibri" w:hAnsi="Calibri" w:cs="Calibri"/>
        </w:rPr>
        <w:t>KLASA:410-01/23-16</w:t>
      </w:r>
    </w:p>
    <w:p w:rsidR="00D05E08" w:rsidRDefault="00D05E08" w:rsidP="00D05E08">
      <w:pPr>
        <w:rPr>
          <w:rFonts w:ascii="Calibri" w:hAnsi="Calibri" w:cs="Calibri"/>
        </w:rPr>
      </w:pPr>
      <w:r>
        <w:rPr>
          <w:rFonts w:ascii="Calibri" w:hAnsi="Calibri" w:cs="Calibri"/>
        </w:rPr>
        <w:t>URBROJ:238/39-0</w:t>
      </w:r>
      <w:r w:rsidR="0085347A">
        <w:rPr>
          <w:rFonts w:ascii="Calibri" w:hAnsi="Calibri" w:cs="Calibri"/>
        </w:rPr>
        <w:t>1</w:t>
      </w:r>
      <w:bookmarkStart w:id="0" w:name="_GoBack"/>
      <w:bookmarkEnd w:id="0"/>
      <w:r>
        <w:rPr>
          <w:rFonts w:ascii="Calibri" w:hAnsi="Calibri" w:cs="Calibri"/>
        </w:rPr>
        <w:t>-23-4</w:t>
      </w:r>
    </w:p>
    <w:p w:rsidR="00D05E08" w:rsidRPr="00FB670C" w:rsidRDefault="00D05E08" w:rsidP="00D05E08">
      <w:pPr>
        <w:rPr>
          <w:rFonts w:ascii="Calibri" w:hAnsi="Calibri" w:cs="Calibri"/>
        </w:rPr>
      </w:pPr>
      <w:r>
        <w:rPr>
          <w:rFonts w:ascii="Calibri" w:hAnsi="Calibri" w:cs="Calibri"/>
        </w:rPr>
        <w:t>Luka, 27. 11. 2023.</w:t>
      </w:r>
    </w:p>
    <w:p w:rsidR="00917262" w:rsidRPr="00720ACD" w:rsidRDefault="00917262" w:rsidP="00772012">
      <w:pPr>
        <w:widowControl/>
        <w:autoSpaceDE/>
        <w:autoSpaceDN/>
        <w:adjustRightInd/>
        <w:rPr>
          <w:rFonts w:ascii="Calibri" w:hAnsi="Calibri" w:cs="Calibri"/>
          <w:sz w:val="22"/>
          <w:szCs w:val="24"/>
        </w:rPr>
      </w:pPr>
    </w:p>
    <w:p w:rsidR="00772012" w:rsidRPr="00720ACD" w:rsidRDefault="00772012" w:rsidP="00772012">
      <w:pPr>
        <w:ind w:firstLine="720"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 xml:space="preserve">Na temelju članaka </w:t>
      </w:r>
      <w:r w:rsidR="002925D7" w:rsidRPr="00720ACD">
        <w:rPr>
          <w:rFonts w:ascii="Calibri" w:hAnsi="Calibri" w:cs="Calibri"/>
          <w:sz w:val="22"/>
          <w:szCs w:val="24"/>
        </w:rPr>
        <w:t xml:space="preserve">42. </w:t>
      </w:r>
      <w:r w:rsidR="003808FA" w:rsidRPr="00720ACD">
        <w:rPr>
          <w:rFonts w:ascii="Calibri" w:hAnsi="Calibri" w:cs="Calibri"/>
          <w:sz w:val="22"/>
          <w:szCs w:val="24"/>
        </w:rPr>
        <w:t xml:space="preserve">stavka 1. </w:t>
      </w:r>
      <w:r w:rsidR="002925D7" w:rsidRPr="00720ACD">
        <w:rPr>
          <w:rFonts w:ascii="Calibri" w:hAnsi="Calibri" w:cs="Calibri"/>
          <w:sz w:val="22"/>
          <w:szCs w:val="24"/>
        </w:rPr>
        <w:t>Zakona o lokalnim porezima</w:t>
      </w:r>
      <w:r w:rsidRPr="00720ACD">
        <w:rPr>
          <w:rFonts w:ascii="Calibri" w:hAnsi="Calibri" w:cs="Calibri"/>
          <w:sz w:val="22"/>
          <w:szCs w:val="24"/>
        </w:rPr>
        <w:t xml:space="preserve"> (Narodne novine </w:t>
      </w:r>
      <w:r w:rsidR="002925D7" w:rsidRPr="00720ACD">
        <w:rPr>
          <w:rFonts w:ascii="Calibri" w:hAnsi="Calibri" w:cs="Calibri"/>
          <w:sz w:val="22"/>
          <w:szCs w:val="24"/>
        </w:rPr>
        <w:t>115</w:t>
      </w:r>
      <w:r w:rsidRPr="00720ACD">
        <w:rPr>
          <w:rFonts w:ascii="Calibri" w:hAnsi="Calibri" w:cs="Calibri"/>
          <w:sz w:val="22"/>
          <w:szCs w:val="24"/>
        </w:rPr>
        <w:t>/</w:t>
      </w:r>
      <w:r w:rsidR="002925D7" w:rsidRPr="00720ACD">
        <w:rPr>
          <w:rFonts w:ascii="Calibri" w:hAnsi="Calibri" w:cs="Calibri"/>
          <w:sz w:val="22"/>
          <w:szCs w:val="24"/>
        </w:rPr>
        <w:t>16</w:t>
      </w:r>
      <w:r w:rsidR="000618F1" w:rsidRPr="00720ACD">
        <w:rPr>
          <w:rFonts w:ascii="Calibri" w:hAnsi="Calibri" w:cs="Calibri"/>
          <w:sz w:val="22"/>
          <w:szCs w:val="24"/>
        </w:rPr>
        <w:t xml:space="preserve">, 101/17, 114/22 i  </w:t>
      </w:r>
      <w:r w:rsidR="00D3695B" w:rsidRPr="00720ACD">
        <w:rPr>
          <w:rFonts w:ascii="Calibri" w:hAnsi="Calibri" w:cs="Calibri"/>
          <w:sz w:val="22"/>
          <w:szCs w:val="24"/>
        </w:rPr>
        <w:t>114</w:t>
      </w:r>
      <w:r w:rsidR="000618F1" w:rsidRPr="00720ACD">
        <w:rPr>
          <w:rFonts w:ascii="Calibri" w:hAnsi="Calibri" w:cs="Calibri"/>
          <w:sz w:val="22"/>
          <w:szCs w:val="24"/>
        </w:rPr>
        <w:t xml:space="preserve"> /23</w:t>
      </w:r>
      <w:r w:rsidRPr="00720ACD">
        <w:rPr>
          <w:rFonts w:ascii="Calibri" w:hAnsi="Calibri" w:cs="Calibri"/>
          <w:sz w:val="22"/>
          <w:szCs w:val="24"/>
        </w:rPr>
        <w:t xml:space="preserve">) i članka </w:t>
      </w:r>
      <w:r w:rsidR="005D1AEB" w:rsidRPr="00720ACD">
        <w:rPr>
          <w:rFonts w:ascii="Calibri" w:hAnsi="Calibri" w:cs="Calibri"/>
          <w:sz w:val="22"/>
          <w:szCs w:val="24"/>
        </w:rPr>
        <w:t>82</w:t>
      </w:r>
      <w:r w:rsidRPr="00720ACD">
        <w:rPr>
          <w:rFonts w:ascii="Calibri" w:hAnsi="Calibri" w:cs="Calibri"/>
          <w:sz w:val="22"/>
          <w:szCs w:val="24"/>
        </w:rPr>
        <w:t xml:space="preserve">. Statuta </w:t>
      </w:r>
      <w:r w:rsidR="005D1AEB" w:rsidRPr="00720ACD">
        <w:rPr>
          <w:rFonts w:ascii="Calibri" w:hAnsi="Calibri" w:cs="Calibri"/>
          <w:sz w:val="22"/>
          <w:szCs w:val="24"/>
        </w:rPr>
        <w:t>Općine Luka</w:t>
      </w:r>
      <w:r w:rsidRPr="00720ACD">
        <w:rPr>
          <w:rFonts w:ascii="Calibri" w:hAnsi="Calibri" w:cs="Calibri"/>
          <w:sz w:val="22"/>
          <w:szCs w:val="24"/>
        </w:rPr>
        <w:t xml:space="preserve"> (</w:t>
      </w:r>
      <w:r w:rsidR="005D1AEB" w:rsidRPr="00720ACD">
        <w:rPr>
          <w:rFonts w:ascii="Calibri" w:hAnsi="Calibri" w:cs="Calibri"/>
          <w:sz w:val="22"/>
          <w:szCs w:val="24"/>
        </w:rPr>
        <w:t>„G</w:t>
      </w:r>
      <w:r w:rsidR="00657503" w:rsidRPr="00720ACD">
        <w:rPr>
          <w:rFonts w:ascii="Calibri" w:hAnsi="Calibri" w:cs="Calibri"/>
          <w:sz w:val="22"/>
          <w:szCs w:val="24"/>
        </w:rPr>
        <w:t>lasnik Zagreba</w:t>
      </w:r>
      <w:r w:rsidR="005D1AEB" w:rsidRPr="00720ACD">
        <w:rPr>
          <w:rFonts w:ascii="Calibri" w:hAnsi="Calibri" w:cs="Calibri"/>
          <w:sz w:val="22"/>
          <w:szCs w:val="24"/>
        </w:rPr>
        <w:t xml:space="preserve">čke županije“, broj 24/18, 26/20 i </w:t>
      </w:r>
      <w:r w:rsidR="000241EF" w:rsidRPr="00720ACD">
        <w:rPr>
          <w:rFonts w:ascii="Calibri" w:hAnsi="Calibri" w:cs="Calibri"/>
          <w:sz w:val="22"/>
          <w:szCs w:val="24"/>
        </w:rPr>
        <w:t>2</w:t>
      </w:r>
      <w:r w:rsidR="005D1AEB" w:rsidRPr="00720ACD">
        <w:rPr>
          <w:rFonts w:ascii="Calibri" w:hAnsi="Calibri" w:cs="Calibri"/>
          <w:sz w:val="22"/>
          <w:szCs w:val="24"/>
        </w:rPr>
        <w:t>0/21</w:t>
      </w:r>
      <w:r w:rsidRPr="00720ACD">
        <w:rPr>
          <w:rFonts w:ascii="Calibri" w:hAnsi="Calibri" w:cs="Calibri"/>
          <w:sz w:val="22"/>
          <w:szCs w:val="24"/>
        </w:rPr>
        <w:t xml:space="preserve">), </w:t>
      </w:r>
      <w:r w:rsidR="005D1AEB" w:rsidRPr="00720ACD">
        <w:rPr>
          <w:rFonts w:ascii="Calibri" w:hAnsi="Calibri" w:cs="Calibri"/>
          <w:sz w:val="22"/>
          <w:szCs w:val="24"/>
        </w:rPr>
        <w:t>Općinsko vijeće Općine Luka</w:t>
      </w:r>
      <w:r w:rsidRPr="00720ACD">
        <w:rPr>
          <w:rFonts w:ascii="Calibri" w:hAnsi="Calibri" w:cs="Calibri"/>
          <w:sz w:val="22"/>
          <w:szCs w:val="24"/>
        </w:rPr>
        <w:t xml:space="preserve"> na </w:t>
      </w:r>
      <w:r w:rsidR="00D05E08">
        <w:rPr>
          <w:rFonts w:ascii="Calibri" w:hAnsi="Calibri" w:cs="Calibri"/>
          <w:sz w:val="22"/>
          <w:szCs w:val="24"/>
        </w:rPr>
        <w:t>16.</w:t>
      </w:r>
      <w:r w:rsidR="005D1AEB" w:rsidRPr="00720ACD">
        <w:rPr>
          <w:rFonts w:ascii="Calibri" w:hAnsi="Calibri" w:cs="Calibri"/>
          <w:sz w:val="22"/>
          <w:szCs w:val="24"/>
        </w:rPr>
        <w:t xml:space="preserve"> sjednici, održanoj dana </w:t>
      </w:r>
      <w:r w:rsidR="00D05E08">
        <w:rPr>
          <w:rFonts w:ascii="Calibri" w:hAnsi="Calibri" w:cs="Calibri"/>
          <w:sz w:val="22"/>
          <w:szCs w:val="24"/>
        </w:rPr>
        <w:t xml:space="preserve">27. 11. </w:t>
      </w:r>
      <w:r w:rsidRPr="00720ACD">
        <w:rPr>
          <w:rFonts w:ascii="Calibri" w:hAnsi="Calibri" w:cs="Calibri"/>
          <w:sz w:val="22"/>
          <w:szCs w:val="24"/>
        </w:rPr>
        <w:t>20</w:t>
      </w:r>
      <w:r w:rsidR="00B01160" w:rsidRPr="00720ACD">
        <w:rPr>
          <w:rFonts w:ascii="Calibri" w:hAnsi="Calibri" w:cs="Calibri"/>
          <w:sz w:val="22"/>
          <w:szCs w:val="24"/>
        </w:rPr>
        <w:t>23</w:t>
      </w:r>
      <w:r w:rsidR="00D05E08">
        <w:rPr>
          <w:rFonts w:ascii="Calibri" w:hAnsi="Calibri" w:cs="Calibri"/>
          <w:sz w:val="22"/>
          <w:szCs w:val="24"/>
        </w:rPr>
        <w:t>.</w:t>
      </w:r>
      <w:r w:rsidRPr="00720ACD">
        <w:rPr>
          <w:rFonts w:ascii="Calibri" w:hAnsi="Calibri" w:cs="Calibri"/>
          <w:sz w:val="22"/>
          <w:szCs w:val="24"/>
        </w:rPr>
        <w:t xml:space="preserve"> don</w:t>
      </w:r>
      <w:r w:rsidR="005D1AEB" w:rsidRPr="00720ACD">
        <w:rPr>
          <w:rFonts w:ascii="Calibri" w:hAnsi="Calibri" w:cs="Calibri"/>
          <w:sz w:val="22"/>
          <w:szCs w:val="24"/>
        </w:rPr>
        <w:t>os</w:t>
      </w:r>
      <w:r w:rsidRPr="00720ACD">
        <w:rPr>
          <w:rFonts w:ascii="Calibri" w:hAnsi="Calibri" w:cs="Calibri"/>
          <w:sz w:val="22"/>
          <w:szCs w:val="24"/>
        </w:rPr>
        <w:t>i</w:t>
      </w:r>
    </w:p>
    <w:p w:rsidR="00772012" w:rsidRPr="00720ACD" w:rsidRDefault="00772012" w:rsidP="00772012">
      <w:pPr>
        <w:jc w:val="both"/>
        <w:rPr>
          <w:rFonts w:ascii="Calibri" w:hAnsi="Calibri" w:cs="Calibri"/>
          <w:b/>
          <w:sz w:val="22"/>
          <w:szCs w:val="24"/>
        </w:rPr>
      </w:pPr>
    </w:p>
    <w:p w:rsidR="00772012" w:rsidRPr="00720ACD" w:rsidRDefault="00772012" w:rsidP="00772012">
      <w:pPr>
        <w:jc w:val="center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>ODLUKU</w:t>
      </w:r>
    </w:p>
    <w:p w:rsidR="00772012" w:rsidRPr="00720ACD" w:rsidRDefault="005D1AEB" w:rsidP="00772012">
      <w:pPr>
        <w:jc w:val="center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 xml:space="preserve">O LOKALNIM POREZIMA </w:t>
      </w:r>
    </w:p>
    <w:p w:rsidR="00772012" w:rsidRPr="00720ACD" w:rsidRDefault="00772012" w:rsidP="00772012">
      <w:pPr>
        <w:jc w:val="both"/>
        <w:rPr>
          <w:rFonts w:ascii="Calibri" w:hAnsi="Calibri" w:cs="Calibri"/>
          <w:b/>
          <w:sz w:val="22"/>
          <w:szCs w:val="24"/>
        </w:rPr>
      </w:pPr>
    </w:p>
    <w:p w:rsidR="00772012" w:rsidRPr="00720ACD" w:rsidRDefault="00772012" w:rsidP="00772012">
      <w:pPr>
        <w:jc w:val="both"/>
        <w:rPr>
          <w:rFonts w:ascii="Calibri" w:hAnsi="Calibri" w:cs="Calibri"/>
          <w:b/>
          <w:sz w:val="22"/>
          <w:szCs w:val="24"/>
        </w:rPr>
      </w:pPr>
    </w:p>
    <w:p w:rsidR="00772012" w:rsidRPr="00720ACD" w:rsidRDefault="00772012" w:rsidP="00772012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>I. OPĆA ODREDBA</w:t>
      </w:r>
    </w:p>
    <w:p w:rsidR="00772012" w:rsidRPr="00720ACD" w:rsidRDefault="00772012" w:rsidP="00772012">
      <w:pPr>
        <w:jc w:val="both"/>
        <w:rPr>
          <w:rFonts w:ascii="Calibri" w:hAnsi="Calibri" w:cs="Calibri"/>
          <w:sz w:val="22"/>
          <w:szCs w:val="24"/>
        </w:rPr>
      </w:pPr>
    </w:p>
    <w:p w:rsidR="00772012" w:rsidRPr="00720ACD" w:rsidRDefault="00772012" w:rsidP="00772012">
      <w:pPr>
        <w:jc w:val="center"/>
        <w:rPr>
          <w:rFonts w:ascii="Calibri" w:hAnsi="Calibri" w:cs="Calibri"/>
          <w:b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>Članak 1.</w:t>
      </w:r>
    </w:p>
    <w:p w:rsidR="003A345F" w:rsidRPr="00720ACD" w:rsidRDefault="003A345F" w:rsidP="00772012">
      <w:pPr>
        <w:jc w:val="both"/>
        <w:rPr>
          <w:rFonts w:ascii="Calibri" w:hAnsi="Calibri" w:cs="Calibri"/>
          <w:sz w:val="22"/>
          <w:szCs w:val="24"/>
          <w:shd w:val="clear" w:color="auto" w:fill="FFFFFF"/>
        </w:rPr>
      </w:pPr>
    </w:p>
    <w:p w:rsidR="00772012" w:rsidRPr="00720ACD" w:rsidRDefault="003A345F" w:rsidP="003E087B">
      <w:pPr>
        <w:pStyle w:val="Default"/>
        <w:ind w:firstLine="708"/>
        <w:jc w:val="both"/>
        <w:rPr>
          <w:rFonts w:ascii="Calibri" w:hAnsi="Calibri" w:cs="Calibri"/>
          <w:sz w:val="22"/>
        </w:rPr>
      </w:pPr>
      <w:r w:rsidRPr="00720ACD">
        <w:rPr>
          <w:rFonts w:ascii="Calibri" w:hAnsi="Calibri" w:cs="Calibri"/>
          <w:sz w:val="22"/>
        </w:rPr>
        <w:t xml:space="preserve">Ovom se </w:t>
      </w:r>
      <w:r w:rsidR="005D1AEB" w:rsidRPr="00720ACD">
        <w:rPr>
          <w:rFonts w:ascii="Calibri" w:hAnsi="Calibri" w:cs="Calibri"/>
          <w:sz w:val="22"/>
        </w:rPr>
        <w:t>O</w:t>
      </w:r>
      <w:r w:rsidRPr="00720ACD">
        <w:rPr>
          <w:rFonts w:ascii="Calibri" w:hAnsi="Calibri" w:cs="Calibri"/>
          <w:sz w:val="22"/>
        </w:rPr>
        <w:t xml:space="preserve">dlukom utvrđuju </w:t>
      </w:r>
      <w:r w:rsidR="005D1AEB" w:rsidRPr="00720ACD">
        <w:rPr>
          <w:rFonts w:ascii="Calibri" w:hAnsi="Calibri" w:cs="Calibri"/>
          <w:sz w:val="22"/>
        </w:rPr>
        <w:t xml:space="preserve">vrste </w:t>
      </w:r>
      <w:r w:rsidRPr="00720ACD">
        <w:rPr>
          <w:rFonts w:ascii="Calibri" w:hAnsi="Calibri" w:cs="Calibri"/>
          <w:sz w:val="22"/>
        </w:rPr>
        <w:t>lokalni</w:t>
      </w:r>
      <w:r w:rsidR="005D1AEB" w:rsidRPr="00720ACD">
        <w:rPr>
          <w:rFonts w:ascii="Calibri" w:hAnsi="Calibri" w:cs="Calibri"/>
          <w:sz w:val="22"/>
        </w:rPr>
        <w:t>h poreza</w:t>
      </w:r>
      <w:r w:rsidRPr="00720ACD">
        <w:rPr>
          <w:rFonts w:ascii="Calibri" w:hAnsi="Calibri" w:cs="Calibri"/>
          <w:sz w:val="22"/>
        </w:rPr>
        <w:t xml:space="preserve"> koji su izvor</w:t>
      </w:r>
      <w:r w:rsidR="005D1AEB" w:rsidRPr="00720ACD">
        <w:rPr>
          <w:rFonts w:ascii="Calibri" w:hAnsi="Calibri" w:cs="Calibri"/>
          <w:sz w:val="22"/>
        </w:rPr>
        <w:t xml:space="preserve">i prihod Općine Luka, visina stope </w:t>
      </w:r>
      <w:r w:rsidRPr="00720ACD">
        <w:rPr>
          <w:rFonts w:ascii="Calibri" w:hAnsi="Calibri" w:cs="Calibri"/>
          <w:sz w:val="22"/>
        </w:rPr>
        <w:t>poreza</w:t>
      </w:r>
      <w:r w:rsidR="005D1AEB" w:rsidRPr="00720ACD">
        <w:rPr>
          <w:rFonts w:ascii="Calibri" w:hAnsi="Calibri" w:cs="Calibri"/>
          <w:sz w:val="22"/>
        </w:rPr>
        <w:t xml:space="preserve"> na potrošnju, visina stope poreza</w:t>
      </w:r>
      <w:r w:rsidRPr="00720ACD">
        <w:rPr>
          <w:rFonts w:ascii="Calibri" w:hAnsi="Calibri" w:cs="Calibri"/>
          <w:sz w:val="22"/>
        </w:rPr>
        <w:t xml:space="preserve"> na kuće za odmor</w:t>
      </w:r>
      <w:r w:rsidR="005D1AEB" w:rsidRPr="00720ACD">
        <w:rPr>
          <w:rFonts w:ascii="Calibri" w:hAnsi="Calibri" w:cs="Calibri"/>
          <w:sz w:val="22"/>
        </w:rPr>
        <w:t>, predmet oporezivanja porezom na korištenj</w:t>
      </w:r>
      <w:r w:rsidR="0097251D" w:rsidRPr="00720ACD">
        <w:rPr>
          <w:rFonts w:ascii="Calibri" w:hAnsi="Calibri" w:cs="Calibri"/>
          <w:sz w:val="22"/>
        </w:rPr>
        <w:t xml:space="preserve">e javnih površina, kao i visina, način i uvjeti plaćanja poreza na korištenje javnih površina te </w:t>
      </w:r>
      <w:r w:rsidRPr="00720ACD">
        <w:rPr>
          <w:rFonts w:ascii="Calibri" w:hAnsi="Calibri" w:cs="Calibri"/>
          <w:sz w:val="22"/>
        </w:rPr>
        <w:t xml:space="preserve">nadležno porezno tijelo </w:t>
      </w:r>
      <w:r w:rsidR="003E087B" w:rsidRPr="00720ACD">
        <w:rPr>
          <w:rFonts w:ascii="Calibri" w:hAnsi="Calibri" w:cs="Calibri"/>
          <w:sz w:val="22"/>
        </w:rPr>
        <w:t xml:space="preserve">za utvrđivanje, evidentiranje, nadzor, naplatu i ovrhu radi naplate </w:t>
      </w:r>
      <w:r w:rsidR="0097251D" w:rsidRPr="00720ACD">
        <w:rPr>
          <w:rFonts w:ascii="Calibri" w:hAnsi="Calibri" w:cs="Calibri"/>
          <w:sz w:val="22"/>
        </w:rPr>
        <w:t>navedenih poreza</w:t>
      </w:r>
      <w:r w:rsidRPr="00720ACD">
        <w:rPr>
          <w:rFonts w:ascii="Calibri" w:hAnsi="Calibri" w:cs="Calibri"/>
          <w:sz w:val="22"/>
        </w:rPr>
        <w:t>.</w:t>
      </w:r>
    </w:p>
    <w:p w:rsidR="00772012" w:rsidRPr="00720ACD" w:rsidRDefault="00772012" w:rsidP="00772012">
      <w:pPr>
        <w:jc w:val="both"/>
        <w:rPr>
          <w:rFonts w:ascii="Calibri" w:hAnsi="Calibri" w:cs="Calibri"/>
          <w:b/>
          <w:sz w:val="22"/>
          <w:szCs w:val="24"/>
        </w:rPr>
      </w:pPr>
    </w:p>
    <w:p w:rsidR="00772012" w:rsidRPr="00720ACD" w:rsidRDefault="00772012" w:rsidP="00772012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>II. VRSTA POREZA</w:t>
      </w:r>
    </w:p>
    <w:p w:rsidR="00772012" w:rsidRPr="00720ACD" w:rsidRDefault="00772012" w:rsidP="00772012">
      <w:pPr>
        <w:jc w:val="both"/>
        <w:rPr>
          <w:rFonts w:ascii="Calibri" w:hAnsi="Calibri" w:cs="Calibri"/>
          <w:sz w:val="22"/>
          <w:szCs w:val="24"/>
        </w:rPr>
      </w:pPr>
    </w:p>
    <w:p w:rsidR="00772012" w:rsidRPr="00720ACD" w:rsidRDefault="00772012" w:rsidP="00772012">
      <w:pPr>
        <w:jc w:val="center"/>
        <w:rPr>
          <w:rFonts w:ascii="Calibri" w:hAnsi="Calibri" w:cs="Calibri"/>
          <w:b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>Članak 2.</w:t>
      </w:r>
    </w:p>
    <w:p w:rsidR="00772012" w:rsidRPr="00720ACD" w:rsidRDefault="00772012" w:rsidP="00772012">
      <w:pPr>
        <w:jc w:val="both"/>
        <w:rPr>
          <w:rFonts w:ascii="Calibri" w:hAnsi="Calibri" w:cs="Calibri"/>
          <w:sz w:val="22"/>
          <w:szCs w:val="24"/>
        </w:rPr>
      </w:pPr>
    </w:p>
    <w:p w:rsidR="00463881" w:rsidRPr="00720ACD" w:rsidRDefault="00463881" w:rsidP="00463881">
      <w:pPr>
        <w:shd w:val="clear" w:color="auto" w:fill="FFFFFF"/>
        <w:ind w:firstLine="709"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 xml:space="preserve">Lokalni porezi </w:t>
      </w:r>
      <w:r w:rsidR="0097251D" w:rsidRPr="00720ACD">
        <w:rPr>
          <w:rFonts w:ascii="Calibri" w:hAnsi="Calibri" w:cs="Calibri"/>
          <w:sz w:val="22"/>
          <w:szCs w:val="24"/>
        </w:rPr>
        <w:t>Općine Luka</w:t>
      </w:r>
      <w:r w:rsidRPr="00720ACD">
        <w:rPr>
          <w:rFonts w:ascii="Calibri" w:hAnsi="Calibri" w:cs="Calibri"/>
          <w:sz w:val="22"/>
          <w:szCs w:val="24"/>
        </w:rPr>
        <w:t xml:space="preserve"> su:</w:t>
      </w:r>
    </w:p>
    <w:p w:rsidR="00463881" w:rsidRPr="00720ACD" w:rsidRDefault="00463881" w:rsidP="00463881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 xml:space="preserve">1. </w:t>
      </w:r>
      <w:r w:rsidR="0097251D" w:rsidRPr="00720ACD">
        <w:rPr>
          <w:rFonts w:ascii="Calibri" w:hAnsi="Calibri" w:cs="Calibri"/>
          <w:sz w:val="22"/>
          <w:szCs w:val="24"/>
        </w:rPr>
        <w:t>porez na kuće za odmor,</w:t>
      </w:r>
    </w:p>
    <w:p w:rsidR="0097251D" w:rsidRPr="00720ACD" w:rsidRDefault="000B0630" w:rsidP="00463881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2</w:t>
      </w:r>
      <w:r w:rsidR="0097251D" w:rsidRPr="00720ACD">
        <w:rPr>
          <w:rFonts w:ascii="Calibri" w:hAnsi="Calibri" w:cs="Calibri"/>
          <w:sz w:val="22"/>
          <w:szCs w:val="24"/>
        </w:rPr>
        <w:t>. porez na korištenje javnih površina.</w:t>
      </w:r>
    </w:p>
    <w:p w:rsidR="00772012" w:rsidRPr="00720ACD" w:rsidRDefault="00124282" w:rsidP="008F331E">
      <w:pPr>
        <w:jc w:val="both"/>
        <w:rPr>
          <w:rFonts w:ascii="Calibri" w:hAnsi="Calibri" w:cs="Calibri"/>
          <w:color w:val="FF0000"/>
          <w:sz w:val="22"/>
          <w:szCs w:val="24"/>
        </w:rPr>
      </w:pPr>
      <w:r w:rsidRPr="00720ACD">
        <w:rPr>
          <w:rFonts w:ascii="Calibri" w:hAnsi="Calibri" w:cs="Calibri"/>
          <w:color w:val="FF0000"/>
          <w:sz w:val="22"/>
          <w:szCs w:val="24"/>
        </w:rPr>
        <w:tab/>
      </w:r>
    </w:p>
    <w:p w:rsidR="00E16EA8" w:rsidRPr="00720ACD" w:rsidRDefault="00E16EA8" w:rsidP="00772012">
      <w:pPr>
        <w:jc w:val="center"/>
        <w:rPr>
          <w:rFonts w:ascii="Calibri" w:hAnsi="Calibri" w:cs="Calibri"/>
          <w:sz w:val="22"/>
          <w:szCs w:val="24"/>
        </w:rPr>
      </w:pPr>
    </w:p>
    <w:p w:rsidR="008F331E" w:rsidRPr="00720ACD" w:rsidRDefault="008F331E" w:rsidP="008F331E">
      <w:pPr>
        <w:widowControl/>
        <w:autoSpaceDE/>
        <w:autoSpaceDN/>
        <w:adjustRightInd/>
        <w:jc w:val="both"/>
        <w:rPr>
          <w:rFonts w:ascii="Calibri" w:hAnsi="Calibri" w:cs="Calibri"/>
          <w:i/>
          <w:sz w:val="22"/>
          <w:szCs w:val="24"/>
        </w:rPr>
      </w:pPr>
      <w:r w:rsidRPr="00720ACD">
        <w:rPr>
          <w:rFonts w:ascii="Calibri" w:hAnsi="Calibri" w:cs="Calibri"/>
          <w:i/>
          <w:sz w:val="22"/>
          <w:szCs w:val="24"/>
        </w:rPr>
        <w:t>Porez na kuće za odmor</w:t>
      </w:r>
    </w:p>
    <w:p w:rsidR="00665BEB" w:rsidRPr="00720ACD" w:rsidRDefault="00181440" w:rsidP="00D478BD">
      <w:pPr>
        <w:widowControl/>
        <w:autoSpaceDE/>
        <w:autoSpaceDN/>
        <w:adjustRightInd/>
        <w:jc w:val="center"/>
        <w:rPr>
          <w:rFonts w:ascii="Calibri" w:hAnsi="Calibri" w:cs="Calibri"/>
          <w:b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 xml:space="preserve">Članak </w:t>
      </w:r>
      <w:r w:rsidR="000B0630">
        <w:rPr>
          <w:rFonts w:ascii="Calibri" w:hAnsi="Calibri" w:cs="Calibri"/>
          <w:b/>
          <w:sz w:val="22"/>
          <w:szCs w:val="24"/>
        </w:rPr>
        <w:t>3</w:t>
      </w:r>
      <w:r w:rsidRPr="00720ACD">
        <w:rPr>
          <w:rFonts w:ascii="Calibri" w:hAnsi="Calibri" w:cs="Calibri"/>
          <w:b/>
          <w:sz w:val="22"/>
          <w:szCs w:val="24"/>
        </w:rPr>
        <w:t>.</w:t>
      </w:r>
    </w:p>
    <w:p w:rsidR="008F331E" w:rsidRPr="00720ACD" w:rsidRDefault="00D478BD" w:rsidP="00D478BD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ab/>
      </w:r>
      <w:r w:rsidR="008F331E" w:rsidRPr="00720ACD">
        <w:rPr>
          <w:rFonts w:ascii="Calibri" w:hAnsi="Calibri" w:cs="Calibri"/>
          <w:sz w:val="22"/>
          <w:szCs w:val="24"/>
        </w:rPr>
        <w:t>Porez na kuće za odmor plaćaju pravne i fizičke osobe koje su vlasnici kuća za odmor, koje se nalaze na području Općine Luka.</w:t>
      </w:r>
    </w:p>
    <w:p w:rsidR="00665BEB" w:rsidRPr="00720ACD" w:rsidRDefault="008F331E" w:rsidP="00D478BD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ab/>
        <w:t xml:space="preserve">Porez na kuće za odmor plaća se godišnje, </w:t>
      </w:r>
      <w:r w:rsidR="00665BEB" w:rsidRPr="00720ACD">
        <w:rPr>
          <w:rFonts w:ascii="Calibri" w:hAnsi="Calibri" w:cs="Calibri"/>
          <w:sz w:val="22"/>
          <w:szCs w:val="24"/>
        </w:rPr>
        <w:t>po jednom četvornom metru</w:t>
      </w:r>
      <w:r w:rsidR="00D05E08">
        <w:rPr>
          <w:rFonts w:ascii="Calibri" w:hAnsi="Calibri" w:cs="Calibri"/>
          <w:sz w:val="22"/>
          <w:szCs w:val="24"/>
        </w:rPr>
        <w:t xml:space="preserve"> korisne površine kuće za odmor 1,</w:t>
      </w:r>
      <w:r w:rsidR="00F12FB9">
        <w:rPr>
          <w:rFonts w:ascii="Calibri" w:hAnsi="Calibri" w:cs="Calibri"/>
          <w:sz w:val="22"/>
          <w:szCs w:val="24"/>
        </w:rPr>
        <w:t>6</w:t>
      </w:r>
      <w:r w:rsidR="00D05E08">
        <w:rPr>
          <w:rFonts w:ascii="Calibri" w:hAnsi="Calibri" w:cs="Calibri"/>
          <w:sz w:val="22"/>
          <w:szCs w:val="24"/>
        </w:rPr>
        <w:t xml:space="preserve">0 </w:t>
      </w:r>
      <w:r w:rsidR="000B0630">
        <w:rPr>
          <w:rFonts w:ascii="Calibri" w:hAnsi="Calibri" w:cs="Calibri"/>
          <w:sz w:val="22"/>
          <w:szCs w:val="24"/>
        </w:rPr>
        <w:t>eura</w:t>
      </w:r>
      <w:r w:rsidR="00E16EA8" w:rsidRPr="00720ACD">
        <w:rPr>
          <w:rFonts w:ascii="Calibri" w:hAnsi="Calibri" w:cs="Calibri"/>
          <w:sz w:val="22"/>
          <w:szCs w:val="24"/>
        </w:rPr>
        <w:t>/m</w:t>
      </w:r>
      <w:r w:rsidR="00E16EA8" w:rsidRPr="00720ACD">
        <w:rPr>
          <w:rFonts w:ascii="Calibri" w:hAnsi="Calibri" w:cs="Calibri"/>
          <w:sz w:val="22"/>
          <w:szCs w:val="24"/>
          <w:vertAlign w:val="superscript"/>
        </w:rPr>
        <w:t>2</w:t>
      </w:r>
      <w:r w:rsidR="00665BEB" w:rsidRPr="00720ACD">
        <w:rPr>
          <w:rFonts w:ascii="Calibri" w:hAnsi="Calibri" w:cs="Calibri"/>
          <w:sz w:val="22"/>
          <w:szCs w:val="24"/>
        </w:rPr>
        <w:t>.</w:t>
      </w:r>
    </w:p>
    <w:p w:rsidR="00E16EA8" w:rsidRPr="00720ACD" w:rsidRDefault="00E16EA8" w:rsidP="00D478BD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4"/>
        </w:rPr>
      </w:pPr>
    </w:p>
    <w:p w:rsidR="00D05E08" w:rsidRDefault="00D05E08" w:rsidP="00E16EA8">
      <w:pPr>
        <w:jc w:val="center"/>
        <w:rPr>
          <w:rFonts w:ascii="Calibri" w:hAnsi="Calibri" w:cs="Calibri"/>
          <w:b/>
          <w:sz w:val="22"/>
          <w:szCs w:val="24"/>
        </w:rPr>
      </w:pPr>
    </w:p>
    <w:p w:rsidR="00E16EA8" w:rsidRPr="00720ACD" w:rsidRDefault="00E16EA8" w:rsidP="00E16EA8">
      <w:pPr>
        <w:jc w:val="center"/>
        <w:rPr>
          <w:rFonts w:ascii="Calibri" w:hAnsi="Calibri" w:cs="Calibri"/>
          <w:b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 xml:space="preserve">Članak </w:t>
      </w:r>
      <w:r w:rsidR="000B0630">
        <w:rPr>
          <w:rFonts w:ascii="Calibri" w:hAnsi="Calibri" w:cs="Calibri"/>
          <w:b/>
          <w:sz w:val="22"/>
          <w:szCs w:val="24"/>
        </w:rPr>
        <w:t>4</w:t>
      </w:r>
      <w:r w:rsidRPr="00720ACD">
        <w:rPr>
          <w:rFonts w:ascii="Calibri" w:hAnsi="Calibri" w:cs="Calibri"/>
          <w:b/>
          <w:sz w:val="22"/>
          <w:szCs w:val="24"/>
        </w:rPr>
        <w:t>.</w:t>
      </w:r>
    </w:p>
    <w:p w:rsidR="00E16EA8" w:rsidRPr="00720ACD" w:rsidRDefault="00E16EA8" w:rsidP="00E16EA8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ab/>
        <w:t>Poslove utvrđivanja, evidentiranja, nadzora, naplate i ovrhe radi naplate poreza na potrošnju obavlja Ministarstvo financija, Porezna uprava, Ispostava Zaprešić.</w:t>
      </w:r>
    </w:p>
    <w:p w:rsidR="00772012" w:rsidRPr="00720ACD" w:rsidRDefault="00772012" w:rsidP="00D478BD">
      <w:pPr>
        <w:ind w:firstLine="720"/>
        <w:jc w:val="both"/>
        <w:rPr>
          <w:rFonts w:ascii="Calibri" w:hAnsi="Calibri" w:cs="Calibri"/>
          <w:sz w:val="22"/>
          <w:szCs w:val="24"/>
        </w:rPr>
      </w:pPr>
    </w:p>
    <w:p w:rsidR="00E16EA8" w:rsidRPr="00720ACD" w:rsidRDefault="00E16EA8" w:rsidP="00E16EA8">
      <w:pPr>
        <w:jc w:val="both"/>
        <w:rPr>
          <w:rFonts w:ascii="Calibri" w:hAnsi="Calibri" w:cs="Calibri"/>
          <w:i/>
          <w:sz w:val="22"/>
          <w:szCs w:val="24"/>
        </w:rPr>
      </w:pPr>
      <w:r w:rsidRPr="00720ACD">
        <w:rPr>
          <w:rFonts w:ascii="Calibri" w:hAnsi="Calibri" w:cs="Calibri"/>
          <w:i/>
          <w:sz w:val="22"/>
          <w:szCs w:val="24"/>
        </w:rPr>
        <w:lastRenderedPageBreak/>
        <w:t>Porez na korištenje javnih površina</w:t>
      </w:r>
    </w:p>
    <w:p w:rsidR="00E16EA8" w:rsidRPr="00720ACD" w:rsidRDefault="00E16EA8" w:rsidP="00E16EA8">
      <w:pPr>
        <w:jc w:val="both"/>
        <w:rPr>
          <w:rFonts w:ascii="Calibri" w:hAnsi="Calibri" w:cs="Calibri"/>
          <w:b/>
          <w:i/>
          <w:sz w:val="22"/>
          <w:szCs w:val="24"/>
        </w:rPr>
      </w:pPr>
    </w:p>
    <w:p w:rsidR="00E16EA8" w:rsidRPr="00720ACD" w:rsidRDefault="00E16EA8" w:rsidP="00E16EA8">
      <w:pPr>
        <w:jc w:val="center"/>
        <w:rPr>
          <w:rFonts w:ascii="Calibri" w:hAnsi="Calibri" w:cs="Calibri"/>
          <w:b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 xml:space="preserve">Članak </w:t>
      </w:r>
      <w:r w:rsidR="000B0630">
        <w:rPr>
          <w:rFonts w:ascii="Calibri" w:hAnsi="Calibri" w:cs="Calibri"/>
          <w:b/>
          <w:sz w:val="22"/>
          <w:szCs w:val="24"/>
        </w:rPr>
        <w:t>5</w:t>
      </w:r>
      <w:r w:rsidRPr="00720ACD">
        <w:rPr>
          <w:rFonts w:ascii="Calibri" w:hAnsi="Calibri" w:cs="Calibri"/>
          <w:b/>
          <w:sz w:val="22"/>
          <w:szCs w:val="24"/>
        </w:rPr>
        <w:t>.</w:t>
      </w:r>
    </w:p>
    <w:p w:rsidR="00123FB0" w:rsidRPr="00720ACD" w:rsidRDefault="00E16EA8" w:rsidP="00D478BD">
      <w:pPr>
        <w:ind w:firstLine="720"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>Javnim površinama smatraju se</w:t>
      </w:r>
      <w:r w:rsidR="00D81DEB" w:rsidRPr="00720ACD">
        <w:rPr>
          <w:rFonts w:ascii="Calibri" w:hAnsi="Calibri" w:cs="Calibri"/>
          <w:sz w:val="22"/>
          <w:szCs w:val="24"/>
        </w:rPr>
        <w:t xml:space="preserve"> javne zelene površine, pješačke zone, trgovi, parkovi, igrališta, parkirališta, javne prometne površine i zemljišta koja nisu dana na trajno korištenje pravnim ili fizičkim osobama. </w:t>
      </w:r>
    </w:p>
    <w:p w:rsidR="00123FB0" w:rsidRPr="00720ACD" w:rsidRDefault="00123FB0" w:rsidP="00D478BD">
      <w:pPr>
        <w:ind w:firstLine="720"/>
        <w:jc w:val="both"/>
        <w:rPr>
          <w:rFonts w:ascii="Calibri" w:hAnsi="Calibri" w:cs="Calibri"/>
          <w:sz w:val="22"/>
          <w:szCs w:val="24"/>
        </w:rPr>
      </w:pPr>
    </w:p>
    <w:p w:rsidR="00123FB0" w:rsidRPr="00720ACD" w:rsidRDefault="000B0630" w:rsidP="00123FB0">
      <w:pPr>
        <w:jc w:val="center"/>
        <w:rPr>
          <w:rFonts w:ascii="Calibri" w:hAnsi="Calibri" w:cs="Calibri"/>
          <w:b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>Članak 6</w:t>
      </w:r>
      <w:r w:rsidR="00123FB0" w:rsidRPr="00720ACD">
        <w:rPr>
          <w:rFonts w:ascii="Calibri" w:hAnsi="Calibri" w:cs="Calibri"/>
          <w:b/>
          <w:sz w:val="22"/>
          <w:szCs w:val="24"/>
        </w:rPr>
        <w:t>.</w:t>
      </w:r>
    </w:p>
    <w:p w:rsidR="00123FB0" w:rsidRPr="00720ACD" w:rsidRDefault="00123FB0" w:rsidP="00123FB0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ab/>
        <w:t>Obveznici plaćanja poreza na korištenje javnih površina su pravne i fizičke osobe koje koriste javne površine na području Općine Luka za postavljanje objekata i naprava privremenog karaktera, osim za zakupnine kraće od mjesec dana za koje se ne naplaćuje porez na korištenje javnih površina.</w:t>
      </w:r>
    </w:p>
    <w:p w:rsidR="00123FB0" w:rsidRPr="00720ACD" w:rsidRDefault="00123FB0" w:rsidP="00123FB0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ab/>
        <w:t xml:space="preserve">Obveznici su dužni prijaviti korištenje javne površine najmanje sedam dana prije početka korištenja iste, nadležnoj Poreznoj upravi i Jedinstvenom upravnom odjelu Općine Luka. </w:t>
      </w:r>
    </w:p>
    <w:p w:rsidR="00123FB0" w:rsidRPr="00720ACD" w:rsidRDefault="00123FB0" w:rsidP="00123FB0">
      <w:pPr>
        <w:jc w:val="both"/>
        <w:rPr>
          <w:rFonts w:ascii="Calibri" w:hAnsi="Calibri" w:cs="Calibri"/>
          <w:sz w:val="22"/>
          <w:szCs w:val="24"/>
        </w:rPr>
      </w:pPr>
    </w:p>
    <w:p w:rsidR="00123FB0" w:rsidRPr="00720ACD" w:rsidRDefault="00123FB0" w:rsidP="00123FB0">
      <w:pPr>
        <w:jc w:val="center"/>
        <w:rPr>
          <w:rFonts w:ascii="Calibri" w:hAnsi="Calibri" w:cs="Calibri"/>
          <w:b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 xml:space="preserve">Članak </w:t>
      </w:r>
      <w:r w:rsidR="000B0630">
        <w:rPr>
          <w:rFonts w:ascii="Calibri" w:hAnsi="Calibri" w:cs="Calibri"/>
          <w:b/>
          <w:sz w:val="22"/>
          <w:szCs w:val="24"/>
        </w:rPr>
        <w:t>7</w:t>
      </w:r>
      <w:r w:rsidRPr="00720ACD">
        <w:rPr>
          <w:rFonts w:ascii="Calibri" w:hAnsi="Calibri" w:cs="Calibri"/>
          <w:b/>
          <w:sz w:val="22"/>
          <w:szCs w:val="24"/>
        </w:rPr>
        <w:t>.</w:t>
      </w:r>
    </w:p>
    <w:p w:rsidR="00123FB0" w:rsidRPr="00720ACD" w:rsidRDefault="00123FB0" w:rsidP="00123FB0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ab/>
        <w:t>Porez na korištenje javnih površina plaća se po stopi od 10% od osnovice koju predstavlja plaćena zakupnina ili naknada za korištenje javne površine.</w:t>
      </w:r>
    </w:p>
    <w:p w:rsidR="00123FB0" w:rsidRPr="00720ACD" w:rsidRDefault="00123FB0" w:rsidP="00123FB0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ab/>
        <w:t>Porez na korištenje javnih površina plaća se u roku od petnaesta dana od dana primitka rješenja kojim je porez utvrđen.</w:t>
      </w:r>
    </w:p>
    <w:p w:rsidR="00123FB0" w:rsidRPr="00720ACD" w:rsidRDefault="00123FB0" w:rsidP="00123FB0">
      <w:pPr>
        <w:jc w:val="both"/>
        <w:rPr>
          <w:rFonts w:ascii="Calibri" w:hAnsi="Calibri" w:cs="Calibri"/>
          <w:sz w:val="22"/>
          <w:szCs w:val="24"/>
        </w:rPr>
      </w:pPr>
    </w:p>
    <w:p w:rsidR="00123FB0" w:rsidRPr="00720ACD" w:rsidRDefault="00123FB0" w:rsidP="00123FB0">
      <w:pPr>
        <w:jc w:val="center"/>
        <w:rPr>
          <w:rFonts w:ascii="Calibri" w:hAnsi="Calibri" w:cs="Calibri"/>
          <w:b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 xml:space="preserve">Članak </w:t>
      </w:r>
      <w:r w:rsidR="000B0630">
        <w:rPr>
          <w:rFonts w:ascii="Calibri" w:hAnsi="Calibri" w:cs="Calibri"/>
          <w:b/>
          <w:sz w:val="22"/>
          <w:szCs w:val="24"/>
        </w:rPr>
        <w:t>8</w:t>
      </w:r>
      <w:r w:rsidRPr="00720ACD">
        <w:rPr>
          <w:rFonts w:ascii="Calibri" w:hAnsi="Calibri" w:cs="Calibri"/>
          <w:b/>
          <w:sz w:val="22"/>
          <w:szCs w:val="24"/>
        </w:rPr>
        <w:t>.</w:t>
      </w:r>
    </w:p>
    <w:p w:rsidR="00123FB0" w:rsidRPr="00720ACD" w:rsidRDefault="00123FB0" w:rsidP="00123FB0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ab/>
        <w:t>Poslove utvrđivanja, evidentiranja, nadzora, naplate i ovrhe radi naplate poreza na korištenje javnih površina obavlja Ministarstvo financija, Porezna uprava, Ispostava Zaprešić.</w:t>
      </w:r>
    </w:p>
    <w:p w:rsidR="00123FB0" w:rsidRPr="00720ACD" w:rsidRDefault="00123FB0" w:rsidP="00123FB0">
      <w:pPr>
        <w:jc w:val="both"/>
        <w:rPr>
          <w:rFonts w:ascii="Calibri" w:hAnsi="Calibri" w:cs="Calibri"/>
          <w:sz w:val="22"/>
          <w:szCs w:val="24"/>
        </w:rPr>
      </w:pPr>
    </w:p>
    <w:p w:rsidR="00123FB0" w:rsidRPr="00720ACD" w:rsidRDefault="00123FB0" w:rsidP="00D478BD">
      <w:pPr>
        <w:ind w:firstLine="720"/>
        <w:jc w:val="both"/>
        <w:rPr>
          <w:rFonts w:ascii="Calibri" w:hAnsi="Calibri" w:cs="Calibri"/>
          <w:sz w:val="22"/>
          <w:szCs w:val="24"/>
        </w:rPr>
      </w:pPr>
    </w:p>
    <w:p w:rsidR="003100A6" w:rsidRPr="00720ACD" w:rsidRDefault="00123FB0" w:rsidP="003100A6">
      <w:pPr>
        <w:pStyle w:val="Default"/>
        <w:rPr>
          <w:rFonts w:ascii="Calibri" w:hAnsi="Calibri" w:cs="Calibri"/>
          <w:b/>
          <w:sz w:val="22"/>
        </w:rPr>
      </w:pPr>
      <w:r w:rsidRPr="00720ACD">
        <w:rPr>
          <w:rFonts w:ascii="Calibri" w:hAnsi="Calibri" w:cs="Calibri"/>
          <w:b/>
          <w:sz w:val="22"/>
        </w:rPr>
        <w:t>III</w:t>
      </w:r>
      <w:r w:rsidR="003100A6" w:rsidRPr="00720ACD">
        <w:rPr>
          <w:rFonts w:ascii="Calibri" w:hAnsi="Calibri" w:cs="Calibri"/>
          <w:b/>
          <w:sz w:val="22"/>
        </w:rPr>
        <w:t xml:space="preserve">. DAVANJE OVLASTI FINA-i </w:t>
      </w:r>
    </w:p>
    <w:p w:rsidR="003100A6" w:rsidRPr="00720ACD" w:rsidRDefault="003100A6" w:rsidP="003100A6">
      <w:pPr>
        <w:pStyle w:val="Default"/>
        <w:rPr>
          <w:rFonts w:ascii="Calibri" w:hAnsi="Calibri" w:cs="Calibri"/>
          <w:b/>
          <w:sz w:val="22"/>
        </w:rPr>
      </w:pPr>
    </w:p>
    <w:p w:rsidR="003100A6" w:rsidRPr="00720ACD" w:rsidRDefault="003100A6" w:rsidP="003100A6">
      <w:pPr>
        <w:pStyle w:val="Default"/>
        <w:jc w:val="center"/>
        <w:rPr>
          <w:rFonts w:ascii="Calibri" w:hAnsi="Calibri" w:cs="Calibri"/>
          <w:sz w:val="22"/>
        </w:rPr>
      </w:pPr>
      <w:r w:rsidRPr="00720ACD">
        <w:rPr>
          <w:rFonts w:ascii="Calibri" w:hAnsi="Calibri" w:cs="Calibri"/>
          <w:b/>
          <w:sz w:val="22"/>
        </w:rPr>
        <w:t xml:space="preserve">Članak </w:t>
      </w:r>
      <w:r w:rsidR="000B0630">
        <w:rPr>
          <w:rFonts w:ascii="Calibri" w:hAnsi="Calibri" w:cs="Calibri"/>
          <w:b/>
          <w:sz w:val="22"/>
        </w:rPr>
        <w:t>9</w:t>
      </w:r>
      <w:r w:rsidRPr="00720ACD">
        <w:rPr>
          <w:rFonts w:ascii="Calibri" w:hAnsi="Calibri" w:cs="Calibri"/>
          <w:b/>
          <w:sz w:val="22"/>
        </w:rPr>
        <w:t>.</w:t>
      </w:r>
    </w:p>
    <w:p w:rsidR="003100A6" w:rsidRPr="00720ACD" w:rsidRDefault="003100A6" w:rsidP="003100A6">
      <w:pPr>
        <w:ind w:firstLine="708"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>Ovlašćuje se nadležna organizacija platnog prometa zadužena za raspoređivanje uplaćenih prihoda, da naknad</w:t>
      </w:r>
      <w:r w:rsidR="00014B55" w:rsidRPr="00720ACD">
        <w:rPr>
          <w:rFonts w:ascii="Calibri" w:hAnsi="Calibri" w:cs="Calibri"/>
          <w:sz w:val="22"/>
          <w:szCs w:val="24"/>
        </w:rPr>
        <w:t>u</w:t>
      </w:r>
      <w:r w:rsidRPr="00720ACD">
        <w:rPr>
          <w:rFonts w:ascii="Calibri" w:hAnsi="Calibri" w:cs="Calibri"/>
          <w:sz w:val="22"/>
          <w:szCs w:val="24"/>
        </w:rPr>
        <w:t xml:space="preserve"> koja pripada Ministarstvu financija, Poreznoj upravi u iznosu od 5% od ukupno uplaćenih prihoda, obračuna i uplati u državni proračun i to do zadnjeg dana u mjesecu za protekli mjesec.</w:t>
      </w:r>
    </w:p>
    <w:p w:rsidR="00123FB0" w:rsidRPr="00720ACD" w:rsidRDefault="00123FB0" w:rsidP="003100A6">
      <w:pPr>
        <w:ind w:firstLine="708"/>
        <w:jc w:val="both"/>
        <w:rPr>
          <w:rFonts w:ascii="Calibri" w:hAnsi="Calibri" w:cs="Calibri"/>
          <w:sz w:val="22"/>
          <w:szCs w:val="24"/>
        </w:rPr>
      </w:pPr>
    </w:p>
    <w:p w:rsidR="003100A6" w:rsidRPr="00720ACD" w:rsidRDefault="003100A6" w:rsidP="00772012">
      <w:pPr>
        <w:jc w:val="both"/>
        <w:rPr>
          <w:rFonts w:ascii="Calibri" w:hAnsi="Calibri" w:cs="Calibri"/>
          <w:b/>
          <w:sz w:val="22"/>
          <w:szCs w:val="24"/>
        </w:rPr>
      </w:pPr>
    </w:p>
    <w:p w:rsidR="00772012" w:rsidRPr="00720ACD" w:rsidRDefault="00123FB0" w:rsidP="00772012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>I</w:t>
      </w:r>
      <w:r w:rsidR="00207EA1" w:rsidRPr="00720ACD">
        <w:rPr>
          <w:rFonts w:ascii="Calibri" w:hAnsi="Calibri" w:cs="Calibri"/>
          <w:b/>
          <w:sz w:val="22"/>
          <w:szCs w:val="24"/>
        </w:rPr>
        <w:t>V</w:t>
      </w:r>
      <w:r w:rsidR="00772012" w:rsidRPr="00720ACD">
        <w:rPr>
          <w:rFonts w:ascii="Calibri" w:hAnsi="Calibri" w:cs="Calibri"/>
          <w:b/>
          <w:sz w:val="22"/>
          <w:szCs w:val="24"/>
        </w:rPr>
        <w:t>. PRIJELAZNE I ZAVRŠNE ODREDBE</w:t>
      </w:r>
    </w:p>
    <w:p w:rsidR="00772012" w:rsidRPr="00720ACD" w:rsidRDefault="00772012" w:rsidP="00772012">
      <w:pPr>
        <w:jc w:val="both"/>
        <w:rPr>
          <w:rFonts w:ascii="Calibri" w:hAnsi="Calibri" w:cs="Calibri"/>
          <w:sz w:val="22"/>
          <w:szCs w:val="24"/>
        </w:rPr>
      </w:pPr>
    </w:p>
    <w:p w:rsidR="003137B5" w:rsidRPr="00720ACD" w:rsidRDefault="003100A6" w:rsidP="00123FB0">
      <w:pPr>
        <w:jc w:val="center"/>
        <w:rPr>
          <w:rFonts w:ascii="Calibri" w:hAnsi="Calibri" w:cs="Calibri"/>
          <w:b/>
          <w:sz w:val="22"/>
          <w:szCs w:val="24"/>
        </w:rPr>
      </w:pPr>
      <w:r w:rsidRPr="00720ACD">
        <w:rPr>
          <w:rFonts w:ascii="Calibri" w:hAnsi="Calibri" w:cs="Calibri"/>
          <w:b/>
          <w:sz w:val="22"/>
          <w:szCs w:val="24"/>
        </w:rPr>
        <w:t xml:space="preserve">Članak </w:t>
      </w:r>
      <w:r w:rsidR="000B0630">
        <w:rPr>
          <w:rFonts w:ascii="Calibri" w:hAnsi="Calibri" w:cs="Calibri"/>
          <w:b/>
          <w:sz w:val="22"/>
          <w:szCs w:val="24"/>
        </w:rPr>
        <w:t>10</w:t>
      </w:r>
      <w:r w:rsidRPr="00720ACD">
        <w:rPr>
          <w:rFonts w:ascii="Calibri" w:hAnsi="Calibri" w:cs="Calibri"/>
          <w:b/>
          <w:sz w:val="22"/>
          <w:szCs w:val="24"/>
        </w:rPr>
        <w:t>.</w:t>
      </w:r>
    </w:p>
    <w:p w:rsidR="003137B5" w:rsidRPr="00720ACD" w:rsidRDefault="003137B5" w:rsidP="003137B5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ab/>
        <w:t>Ova Odluka objavit će se u  „Glasniku Zagrebačke županije“, a stupa na snagu 01. siječnja 2024. godine.</w:t>
      </w:r>
    </w:p>
    <w:p w:rsidR="003137B5" w:rsidRPr="00720ACD" w:rsidRDefault="003137B5" w:rsidP="003137B5">
      <w:pPr>
        <w:shd w:val="clear" w:color="auto" w:fill="FFFFFF"/>
        <w:ind w:firstLine="708"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>Stupanjem na snagu ove Odluke prestaje važiti Odluka o lokalnim porezima („Glasnik Zagrebačke županije“, broj 36/19 i „Narodne novine“, broj 98/19).</w:t>
      </w:r>
    </w:p>
    <w:p w:rsidR="003137B5" w:rsidRPr="00720ACD" w:rsidRDefault="003137B5" w:rsidP="003137B5">
      <w:pPr>
        <w:ind w:firstLine="720"/>
        <w:jc w:val="both"/>
        <w:rPr>
          <w:rFonts w:ascii="Calibri" w:hAnsi="Calibri" w:cs="Calibri"/>
          <w:sz w:val="22"/>
          <w:szCs w:val="24"/>
        </w:rPr>
      </w:pPr>
    </w:p>
    <w:p w:rsidR="003137B5" w:rsidRPr="00720ACD" w:rsidRDefault="003137B5" w:rsidP="003137B5">
      <w:pPr>
        <w:jc w:val="both"/>
        <w:rPr>
          <w:rFonts w:ascii="Calibri" w:hAnsi="Calibri" w:cs="Calibri"/>
          <w:sz w:val="22"/>
          <w:szCs w:val="24"/>
        </w:rPr>
      </w:pPr>
    </w:p>
    <w:p w:rsidR="003137B5" w:rsidRPr="00720ACD" w:rsidRDefault="000B0630" w:rsidP="003137B5">
      <w:pPr>
        <w:jc w:val="center"/>
        <w:rPr>
          <w:rFonts w:ascii="Calibri" w:hAnsi="Calibri" w:cs="Calibri"/>
          <w:b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>Članak 11</w:t>
      </w:r>
      <w:r w:rsidR="003137B5" w:rsidRPr="00720ACD">
        <w:rPr>
          <w:rFonts w:ascii="Calibri" w:hAnsi="Calibri" w:cs="Calibri"/>
          <w:b/>
          <w:sz w:val="22"/>
          <w:szCs w:val="24"/>
        </w:rPr>
        <w:t>.</w:t>
      </w:r>
    </w:p>
    <w:p w:rsidR="003100A6" w:rsidRPr="00720ACD" w:rsidRDefault="003100A6" w:rsidP="00370423">
      <w:pPr>
        <w:ind w:firstLine="708"/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>Postupci utvrđivanja poreza započeti po odredbama Odluke o lokalnim porezima (</w:t>
      </w:r>
      <w:r w:rsidR="00F900F7" w:rsidRPr="00720ACD">
        <w:rPr>
          <w:rFonts w:ascii="Calibri" w:hAnsi="Calibri" w:cs="Calibri"/>
          <w:sz w:val="22"/>
          <w:szCs w:val="24"/>
        </w:rPr>
        <w:t>„G</w:t>
      </w:r>
      <w:r w:rsidRPr="00720ACD">
        <w:rPr>
          <w:rFonts w:ascii="Calibri" w:hAnsi="Calibri" w:cs="Calibri"/>
          <w:sz w:val="22"/>
          <w:szCs w:val="24"/>
        </w:rPr>
        <w:t>lasnik Zagreba</w:t>
      </w:r>
      <w:r w:rsidR="00F900F7" w:rsidRPr="00720ACD">
        <w:rPr>
          <w:rFonts w:ascii="Calibri" w:hAnsi="Calibri" w:cs="Calibri"/>
          <w:sz w:val="22"/>
          <w:szCs w:val="24"/>
        </w:rPr>
        <w:t>čke županije“, broj 36/19</w:t>
      </w:r>
      <w:r w:rsidRPr="00720ACD">
        <w:rPr>
          <w:rFonts w:ascii="Calibri" w:hAnsi="Calibri" w:cs="Calibri"/>
          <w:sz w:val="22"/>
          <w:szCs w:val="24"/>
        </w:rPr>
        <w:t xml:space="preserve"> i </w:t>
      </w:r>
      <w:r w:rsidR="00F900F7" w:rsidRPr="00720ACD">
        <w:rPr>
          <w:rFonts w:ascii="Calibri" w:hAnsi="Calibri" w:cs="Calibri"/>
          <w:sz w:val="22"/>
          <w:szCs w:val="24"/>
        </w:rPr>
        <w:t>„</w:t>
      </w:r>
      <w:r w:rsidRPr="00720ACD">
        <w:rPr>
          <w:rFonts w:ascii="Calibri" w:hAnsi="Calibri" w:cs="Calibri"/>
          <w:sz w:val="22"/>
          <w:szCs w:val="24"/>
        </w:rPr>
        <w:t>Narodne novine</w:t>
      </w:r>
      <w:r w:rsidR="00F900F7" w:rsidRPr="00720ACD">
        <w:rPr>
          <w:rFonts w:ascii="Calibri" w:hAnsi="Calibri" w:cs="Calibri"/>
          <w:sz w:val="22"/>
          <w:szCs w:val="24"/>
        </w:rPr>
        <w:t>“, broj</w:t>
      </w:r>
      <w:r w:rsidRPr="00720ACD">
        <w:rPr>
          <w:rFonts w:ascii="Calibri" w:hAnsi="Calibri" w:cs="Calibri"/>
          <w:sz w:val="22"/>
          <w:szCs w:val="24"/>
        </w:rPr>
        <w:t xml:space="preserve"> </w:t>
      </w:r>
      <w:r w:rsidR="00F900F7" w:rsidRPr="00720ACD">
        <w:rPr>
          <w:rFonts w:ascii="Calibri" w:hAnsi="Calibri" w:cs="Calibri"/>
          <w:sz w:val="22"/>
          <w:szCs w:val="24"/>
        </w:rPr>
        <w:t>98/19</w:t>
      </w:r>
      <w:r w:rsidRPr="00720ACD">
        <w:rPr>
          <w:rFonts w:ascii="Calibri" w:hAnsi="Calibri" w:cs="Calibri"/>
          <w:sz w:val="22"/>
          <w:szCs w:val="24"/>
        </w:rPr>
        <w:t>), koji nisu dovršeni do stupanja na snagu ove odluke, dovršiti će se prema odredbama Odluke o lokalnim porezima</w:t>
      </w:r>
      <w:r w:rsidR="00F900F7" w:rsidRPr="00720ACD">
        <w:rPr>
          <w:rFonts w:ascii="Calibri" w:hAnsi="Calibri" w:cs="Calibri"/>
          <w:sz w:val="22"/>
          <w:szCs w:val="24"/>
        </w:rPr>
        <w:t xml:space="preserve"> i o prirezu porezu na dohodak („Glasnik Zagrebačke županije“, broj 36/19 i „Narodne novine“, broj 98/19)</w:t>
      </w:r>
      <w:r w:rsidRPr="00720ACD">
        <w:rPr>
          <w:rFonts w:ascii="Calibri" w:hAnsi="Calibri" w:cs="Calibri"/>
          <w:sz w:val="22"/>
          <w:szCs w:val="24"/>
        </w:rPr>
        <w:t>.</w:t>
      </w:r>
    </w:p>
    <w:p w:rsidR="00772012" w:rsidRPr="00720ACD" w:rsidRDefault="00772012" w:rsidP="00772012">
      <w:pPr>
        <w:jc w:val="both"/>
        <w:rPr>
          <w:rFonts w:ascii="Calibri" w:hAnsi="Calibri" w:cs="Calibri"/>
          <w:sz w:val="22"/>
          <w:szCs w:val="24"/>
        </w:rPr>
      </w:pPr>
    </w:p>
    <w:p w:rsidR="00D05E08" w:rsidRDefault="0097251D" w:rsidP="00D05E08">
      <w:pPr>
        <w:jc w:val="both"/>
        <w:rPr>
          <w:rFonts w:ascii="Calibri" w:hAnsi="Calibri" w:cs="Calibri"/>
          <w:sz w:val="22"/>
          <w:szCs w:val="24"/>
        </w:rPr>
      </w:pPr>
      <w:r w:rsidRPr="00720ACD">
        <w:rPr>
          <w:rFonts w:ascii="Calibri" w:hAnsi="Calibri" w:cs="Calibri"/>
          <w:sz w:val="22"/>
          <w:szCs w:val="24"/>
        </w:rPr>
        <w:t xml:space="preserve">                    </w:t>
      </w:r>
      <w:r w:rsidRPr="00720ACD">
        <w:rPr>
          <w:rFonts w:ascii="Calibri" w:hAnsi="Calibri" w:cs="Calibri"/>
          <w:sz w:val="22"/>
          <w:szCs w:val="24"/>
        </w:rPr>
        <w:tab/>
      </w:r>
      <w:r w:rsidRPr="00720ACD">
        <w:rPr>
          <w:rFonts w:ascii="Calibri" w:hAnsi="Calibri" w:cs="Calibri"/>
          <w:sz w:val="22"/>
          <w:szCs w:val="24"/>
        </w:rPr>
        <w:tab/>
      </w:r>
      <w:r w:rsidRPr="00720ACD">
        <w:rPr>
          <w:rFonts w:ascii="Calibri" w:hAnsi="Calibri" w:cs="Calibri"/>
          <w:sz w:val="22"/>
          <w:szCs w:val="24"/>
        </w:rPr>
        <w:tab/>
      </w:r>
      <w:r w:rsidRPr="00720ACD">
        <w:rPr>
          <w:rFonts w:ascii="Calibri" w:hAnsi="Calibri" w:cs="Calibri"/>
          <w:sz w:val="22"/>
          <w:szCs w:val="24"/>
        </w:rPr>
        <w:tab/>
      </w:r>
      <w:r w:rsidRPr="00720ACD">
        <w:rPr>
          <w:rFonts w:ascii="Calibri" w:hAnsi="Calibri" w:cs="Calibri"/>
          <w:sz w:val="22"/>
          <w:szCs w:val="24"/>
        </w:rPr>
        <w:tab/>
      </w:r>
      <w:r w:rsidRPr="00720ACD">
        <w:rPr>
          <w:rFonts w:ascii="Calibri" w:hAnsi="Calibri" w:cs="Calibri"/>
          <w:sz w:val="22"/>
          <w:szCs w:val="24"/>
        </w:rPr>
        <w:tab/>
        <w:t xml:space="preserve">             OPĆINSKO VIJEĆE</w:t>
      </w:r>
    </w:p>
    <w:p w:rsidR="0097251D" w:rsidRPr="00720ACD" w:rsidRDefault="00D05E08" w:rsidP="00D05E08">
      <w:pPr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ab/>
      </w:r>
      <w:r>
        <w:rPr>
          <w:rFonts w:ascii="Calibri" w:hAnsi="Calibri" w:cs="Calibri"/>
          <w:sz w:val="22"/>
          <w:szCs w:val="24"/>
        </w:rPr>
        <w:tab/>
      </w:r>
      <w:r>
        <w:rPr>
          <w:rFonts w:ascii="Calibri" w:hAnsi="Calibri" w:cs="Calibri"/>
          <w:sz w:val="22"/>
          <w:szCs w:val="24"/>
        </w:rPr>
        <w:tab/>
      </w:r>
      <w:r>
        <w:rPr>
          <w:rFonts w:ascii="Calibri" w:hAnsi="Calibri" w:cs="Calibri"/>
          <w:sz w:val="22"/>
          <w:szCs w:val="24"/>
        </w:rPr>
        <w:tab/>
      </w:r>
      <w:r>
        <w:rPr>
          <w:rFonts w:ascii="Calibri" w:hAnsi="Calibri" w:cs="Calibri"/>
          <w:sz w:val="22"/>
          <w:szCs w:val="24"/>
        </w:rPr>
        <w:tab/>
      </w:r>
      <w:r>
        <w:rPr>
          <w:rFonts w:ascii="Calibri" w:hAnsi="Calibri" w:cs="Calibri"/>
          <w:sz w:val="22"/>
          <w:szCs w:val="24"/>
        </w:rPr>
        <w:tab/>
      </w:r>
      <w:r>
        <w:rPr>
          <w:rFonts w:ascii="Calibri" w:hAnsi="Calibri" w:cs="Calibri"/>
          <w:sz w:val="22"/>
          <w:szCs w:val="24"/>
        </w:rPr>
        <w:tab/>
        <w:t xml:space="preserve">             </w:t>
      </w:r>
      <w:r w:rsidR="00772012" w:rsidRPr="00720ACD">
        <w:rPr>
          <w:rFonts w:ascii="Calibri" w:hAnsi="Calibri" w:cs="Calibri"/>
          <w:sz w:val="22"/>
          <w:szCs w:val="24"/>
        </w:rPr>
        <w:t>Predsjednik</w:t>
      </w:r>
    </w:p>
    <w:p w:rsidR="0097251D" w:rsidRPr="00720ACD" w:rsidRDefault="00D05E08" w:rsidP="00772012">
      <w:pPr>
        <w:ind w:left="4200"/>
        <w:jc w:val="center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ab/>
      </w:r>
      <w:r>
        <w:rPr>
          <w:rFonts w:ascii="Calibri" w:hAnsi="Calibri" w:cs="Calibri"/>
          <w:sz w:val="22"/>
          <w:szCs w:val="24"/>
        </w:rPr>
        <w:tab/>
        <w:t xml:space="preserve">             </w:t>
      </w:r>
      <w:r w:rsidR="0097251D" w:rsidRPr="00720ACD">
        <w:rPr>
          <w:rFonts w:ascii="Calibri" w:hAnsi="Calibri" w:cs="Calibri"/>
          <w:sz w:val="22"/>
          <w:szCs w:val="24"/>
        </w:rPr>
        <w:t xml:space="preserve">Krešimir Tuđman, </w:t>
      </w:r>
      <w:proofErr w:type="spellStart"/>
      <w:r w:rsidR="0097251D" w:rsidRPr="00720ACD">
        <w:rPr>
          <w:rFonts w:ascii="Calibri" w:hAnsi="Calibri" w:cs="Calibri"/>
          <w:sz w:val="22"/>
          <w:szCs w:val="24"/>
        </w:rPr>
        <w:t>struč.spec.ing.aedif</w:t>
      </w:r>
      <w:proofErr w:type="spellEnd"/>
      <w:r w:rsidR="0097251D" w:rsidRPr="00720ACD">
        <w:rPr>
          <w:rFonts w:ascii="Calibri" w:hAnsi="Calibri" w:cs="Calibri"/>
          <w:sz w:val="22"/>
          <w:szCs w:val="24"/>
        </w:rPr>
        <w:t>.</w:t>
      </w:r>
    </w:p>
    <w:p w:rsidR="005D1AEB" w:rsidRPr="00720ACD" w:rsidRDefault="005D1AEB">
      <w:pPr>
        <w:rPr>
          <w:rFonts w:ascii="Calibri" w:hAnsi="Calibri" w:cs="Calibri"/>
          <w:sz w:val="22"/>
          <w:szCs w:val="24"/>
        </w:rPr>
      </w:pPr>
    </w:p>
    <w:sectPr w:rsidR="005D1AEB" w:rsidRPr="00720ACD" w:rsidSect="008A50B4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725E9"/>
    <w:multiLevelType w:val="hybridMultilevel"/>
    <w:tmpl w:val="0972C904"/>
    <w:lvl w:ilvl="0" w:tplc="BC00D7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12"/>
    <w:rsid w:val="00000FD0"/>
    <w:rsid w:val="00014B55"/>
    <w:rsid w:val="000241EF"/>
    <w:rsid w:val="000618F1"/>
    <w:rsid w:val="000B0630"/>
    <w:rsid w:val="00123FB0"/>
    <w:rsid w:val="00124282"/>
    <w:rsid w:val="00176CFF"/>
    <w:rsid w:val="00181440"/>
    <w:rsid w:val="001E682D"/>
    <w:rsid w:val="00207EA1"/>
    <w:rsid w:val="002925D7"/>
    <w:rsid w:val="002A0CD3"/>
    <w:rsid w:val="002B273C"/>
    <w:rsid w:val="002C5E53"/>
    <w:rsid w:val="002D48E7"/>
    <w:rsid w:val="002F5CC0"/>
    <w:rsid w:val="003100A6"/>
    <w:rsid w:val="003137B5"/>
    <w:rsid w:val="00351A6F"/>
    <w:rsid w:val="00370423"/>
    <w:rsid w:val="003808FA"/>
    <w:rsid w:val="003A24F1"/>
    <w:rsid w:val="003A345F"/>
    <w:rsid w:val="003E087B"/>
    <w:rsid w:val="00412612"/>
    <w:rsid w:val="00430993"/>
    <w:rsid w:val="004447C2"/>
    <w:rsid w:val="00463881"/>
    <w:rsid w:val="004D1E42"/>
    <w:rsid w:val="00500B2B"/>
    <w:rsid w:val="005D1AEB"/>
    <w:rsid w:val="00635DA9"/>
    <w:rsid w:val="00657503"/>
    <w:rsid w:val="00665BEB"/>
    <w:rsid w:val="006A0D01"/>
    <w:rsid w:val="00720ACD"/>
    <w:rsid w:val="007219A2"/>
    <w:rsid w:val="00765FE2"/>
    <w:rsid w:val="00772012"/>
    <w:rsid w:val="007E6131"/>
    <w:rsid w:val="0085110E"/>
    <w:rsid w:val="00852031"/>
    <w:rsid w:val="0085347A"/>
    <w:rsid w:val="00860CD3"/>
    <w:rsid w:val="00890FF9"/>
    <w:rsid w:val="008A50B4"/>
    <w:rsid w:val="008D3E3B"/>
    <w:rsid w:val="008E03D7"/>
    <w:rsid w:val="008E5DD0"/>
    <w:rsid w:val="008F331E"/>
    <w:rsid w:val="00912D48"/>
    <w:rsid w:val="00917262"/>
    <w:rsid w:val="009457DE"/>
    <w:rsid w:val="0097251D"/>
    <w:rsid w:val="009A19D8"/>
    <w:rsid w:val="00A657E5"/>
    <w:rsid w:val="00AA692C"/>
    <w:rsid w:val="00B01160"/>
    <w:rsid w:val="00B04015"/>
    <w:rsid w:val="00B302C7"/>
    <w:rsid w:val="00B94475"/>
    <w:rsid w:val="00BB405C"/>
    <w:rsid w:val="00BC1502"/>
    <w:rsid w:val="00BE615B"/>
    <w:rsid w:val="00C17705"/>
    <w:rsid w:val="00C62B20"/>
    <w:rsid w:val="00CA634A"/>
    <w:rsid w:val="00CD40E2"/>
    <w:rsid w:val="00CE76B8"/>
    <w:rsid w:val="00D05E08"/>
    <w:rsid w:val="00D3695B"/>
    <w:rsid w:val="00D478BD"/>
    <w:rsid w:val="00D81DEB"/>
    <w:rsid w:val="00E00C77"/>
    <w:rsid w:val="00E16EA8"/>
    <w:rsid w:val="00E3030A"/>
    <w:rsid w:val="00E509EF"/>
    <w:rsid w:val="00E74E9B"/>
    <w:rsid w:val="00EF1D14"/>
    <w:rsid w:val="00F12FB9"/>
    <w:rsid w:val="00F30611"/>
    <w:rsid w:val="00F3306B"/>
    <w:rsid w:val="00F404F9"/>
    <w:rsid w:val="00F87B32"/>
    <w:rsid w:val="00F900F7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D566E49-8D9D-446D-843F-1C37A0AF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81440"/>
    <w:rPr>
      <w:strike w:val="0"/>
      <w:dstrike w:val="0"/>
      <w:color w:val="0000FF"/>
      <w:u w:val="none"/>
      <w:effect w:val="none"/>
      <w:shd w:val="clear" w:color="auto" w:fill="auto"/>
    </w:rPr>
  </w:style>
  <w:style w:type="character" w:customStyle="1" w:styleId="apple-converted-space">
    <w:name w:val="apple-converted-space"/>
    <w:basedOn w:val="Zadanifontodlomka"/>
    <w:rsid w:val="00BE615B"/>
  </w:style>
  <w:style w:type="paragraph" w:styleId="Odlomakpopisa">
    <w:name w:val="List Paragraph"/>
    <w:basedOn w:val="Normal"/>
    <w:uiPriority w:val="34"/>
    <w:qFormat/>
    <w:rsid w:val="00BE615B"/>
    <w:pPr>
      <w:ind w:left="720"/>
      <w:contextualSpacing/>
    </w:pPr>
  </w:style>
  <w:style w:type="paragraph" w:customStyle="1" w:styleId="Default">
    <w:name w:val="Default"/>
    <w:rsid w:val="003E0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04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0423"/>
    <w:rPr>
      <w:rFonts w:ascii="Segoe UI" w:eastAsia="Times New Roman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9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9/Coat_of_arms_of_Croatia.svg/220px-Coat_of_arms_of_Croatia.svg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r.wikipedia.org/wiki/Datoteka:Coat_of_arms_of_Croatia.sv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opcinaluka.pondi.hr/images/grb_luka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8CAD-3D3B-47D7-9B93-715D2377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Prgomet</dc:creator>
  <cp:lastModifiedBy>Marija-pc</cp:lastModifiedBy>
  <cp:revision>18</cp:revision>
  <cp:lastPrinted>2023-12-04T08:08:00Z</cp:lastPrinted>
  <dcterms:created xsi:type="dcterms:W3CDTF">2023-10-11T11:01:00Z</dcterms:created>
  <dcterms:modified xsi:type="dcterms:W3CDTF">2023-12-04T08:10:00Z</dcterms:modified>
</cp:coreProperties>
</file>