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8A9" w:rsidRPr="004948A9" w:rsidRDefault="004948A9" w:rsidP="004948A9">
      <w:pPr>
        <w:rPr>
          <w:rFonts w:ascii="Calibri" w:hAnsi="Calibri" w:cs="Calibri"/>
          <w:i/>
          <w:sz w:val="32"/>
          <w:u w:val="single"/>
        </w:rPr>
      </w:pPr>
      <w:r>
        <w:rPr>
          <w:rFonts w:ascii="Calibri" w:hAnsi="Calibri" w:cs="Calibri"/>
        </w:rPr>
        <w:t xml:space="preserve">      </w:t>
      </w:r>
    </w:p>
    <w:p w:rsidR="005E1F8F" w:rsidRPr="005E1F8F" w:rsidRDefault="005E1F8F" w:rsidP="005E1F8F">
      <w:pPr>
        <w:jc w:val="center"/>
        <w:rPr>
          <w:rFonts w:ascii="Calibri" w:hAnsi="Calibri" w:cs="Calibri"/>
          <w:b/>
          <w:i/>
          <w:u w:val="single"/>
        </w:rPr>
      </w:pPr>
      <w:r w:rsidRPr="005E1F8F">
        <w:rPr>
          <w:rFonts w:ascii="Calibri" w:hAnsi="Calibri" w:cs="Calibri"/>
          <w:b/>
          <w:i/>
          <w:u w:val="single"/>
        </w:rPr>
        <w:t>AD/8a  DONOŠENJE ODLUKE O DOPUNI ODLUKE O PROGRAŠENJU STATUSA NERAZVRSTANE CESTE  - JAVNOG DOBRA U OPĆOJ UPORABI LAZI I.</w:t>
      </w:r>
    </w:p>
    <w:p w:rsidR="005E1F8F" w:rsidRPr="005E1F8F" w:rsidRDefault="005E1F8F" w:rsidP="005E1F8F">
      <w:pPr>
        <w:jc w:val="center"/>
        <w:rPr>
          <w:rFonts w:ascii="Calibri" w:hAnsi="Calibri" w:cs="Calibri"/>
          <w:b/>
          <w:i/>
          <w:u w:val="single"/>
        </w:rPr>
      </w:pPr>
    </w:p>
    <w:p w:rsidR="005E1F8F" w:rsidRDefault="005E1F8F" w:rsidP="00AF59EB">
      <w:pPr>
        <w:rPr>
          <w:rFonts w:ascii="Calibri" w:hAnsi="Calibri" w:cs="Calibri"/>
        </w:rPr>
      </w:pPr>
    </w:p>
    <w:p w:rsidR="00A6478F" w:rsidRPr="005E1F8F" w:rsidRDefault="00A6478F" w:rsidP="00AF59EB">
      <w:pPr>
        <w:rPr>
          <w:rFonts w:asciiTheme="minorHAnsi" w:hAnsiTheme="minorHAnsi" w:cstheme="minorHAnsi"/>
        </w:rPr>
      </w:pPr>
      <w:r w:rsidRPr="00FB670C">
        <w:rPr>
          <w:rFonts w:ascii="Calibri" w:hAnsi="Calibri" w:cs="Calibri"/>
        </w:rPr>
        <w:t xml:space="preserve">   </w:t>
      </w:r>
      <w:r w:rsidR="00AF59EB" w:rsidRPr="005E1F8F">
        <w:rPr>
          <w:rFonts w:asciiTheme="minorHAnsi" w:hAnsiTheme="minorHAnsi" w:cstheme="minorHAnsi"/>
        </w:rPr>
        <w:t>PRIJEDLOG</w:t>
      </w:r>
    </w:p>
    <w:p w:rsidR="00AF59EB" w:rsidRDefault="00AF59EB" w:rsidP="00AF59EB"/>
    <w:p w:rsidR="00AF59EB" w:rsidRPr="00FB670C" w:rsidRDefault="00AF59EB" w:rsidP="00AF59EB">
      <w:pPr>
        <w:rPr>
          <w:rFonts w:ascii="Calibri" w:hAnsi="Calibri" w:cs="Calibri"/>
        </w:rPr>
      </w:pPr>
    </w:p>
    <w:p w:rsidR="00A6478F" w:rsidRPr="007C61F2" w:rsidRDefault="00A6478F" w:rsidP="00A6478F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AF59EB" w:rsidRDefault="00A6478F" w:rsidP="00A6478F">
      <w:pPr>
        <w:rPr>
          <w:rFonts w:ascii="Calibri" w:hAnsi="Calibri" w:cs="Calibr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>KLASA:</w:t>
      </w:r>
      <w:r w:rsidR="00AF59EB" w:rsidRPr="00E02E70">
        <w:rPr>
          <w:rFonts w:ascii="Calibri" w:hAnsi="Calibri" w:cs="Calibri"/>
          <w:sz w:val="22"/>
          <w:szCs w:val="22"/>
        </w:rPr>
        <w:t xml:space="preserve"> </w:t>
      </w:r>
    </w:p>
    <w:p w:rsidR="00A6478F" w:rsidRPr="00E02E70" w:rsidRDefault="00A6478F" w:rsidP="00A6478F">
      <w:pPr>
        <w:rPr>
          <w:rFonts w:ascii="Calibri" w:hAnsi="Calibri" w:cs="Calibr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>URBROJ:</w:t>
      </w:r>
    </w:p>
    <w:p w:rsidR="00A6478F" w:rsidRPr="00E02E70" w:rsidRDefault="00A6478F" w:rsidP="00A6478F">
      <w:pPr>
        <w:rPr>
          <w:rFonts w:ascii="Calibri" w:hAnsi="Calibri" w:cs="Calibr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>Luka,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E1088C" w:rsidRDefault="00E1088C" w:rsidP="004948A9">
      <w:pPr>
        <w:rPr>
          <w:rFonts w:ascii="Calibri" w:hAnsi="Calibri" w:cs="Calibri"/>
        </w:rPr>
      </w:pPr>
    </w:p>
    <w:p w:rsidR="00A6478F" w:rsidRDefault="00A6478F" w:rsidP="004948A9">
      <w:pPr>
        <w:rPr>
          <w:rFonts w:ascii="Calibri" w:hAnsi="Calibri" w:cs="Calibri"/>
        </w:rPr>
      </w:pPr>
    </w:p>
    <w:p w:rsidR="00E1088C" w:rsidRDefault="005E1F8F" w:rsidP="00E1088C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E1088C" w:rsidRPr="00F52A10">
        <w:rPr>
          <w:rFonts w:asciiTheme="minorHAnsi" w:hAnsiTheme="minorHAnsi" w:cstheme="minorHAnsi"/>
          <w:sz w:val="22"/>
          <w:szCs w:val="22"/>
        </w:rPr>
        <w:t>Na temelju članka 101. Zakona o cestama („Narodne novine“, broj</w:t>
      </w:r>
      <w:r w:rsidR="00E1088C">
        <w:rPr>
          <w:rFonts w:asciiTheme="minorHAnsi" w:hAnsiTheme="minorHAnsi" w:cstheme="minorHAnsi"/>
          <w:sz w:val="22"/>
          <w:szCs w:val="22"/>
        </w:rPr>
        <w:t xml:space="preserve"> 84/11, 22/13, 54/13, 148/13,</w:t>
      </w:r>
      <w:r w:rsidR="00E1088C" w:rsidRPr="00F52A10">
        <w:rPr>
          <w:rFonts w:asciiTheme="minorHAnsi" w:hAnsiTheme="minorHAnsi" w:cstheme="minorHAnsi"/>
          <w:sz w:val="22"/>
          <w:szCs w:val="22"/>
        </w:rPr>
        <w:t xml:space="preserve"> 92/14</w:t>
      </w:r>
      <w:r w:rsidR="00E1088C">
        <w:rPr>
          <w:rFonts w:asciiTheme="minorHAnsi" w:hAnsiTheme="minorHAnsi" w:cstheme="minorHAnsi"/>
          <w:sz w:val="22"/>
          <w:szCs w:val="22"/>
        </w:rPr>
        <w:t xml:space="preserve"> i 110/19</w:t>
      </w:r>
      <w:r w:rsidR="00E1088C" w:rsidRPr="00F52A10">
        <w:rPr>
          <w:rFonts w:asciiTheme="minorHAnsi" w:hAnsiTheme="minorHAnsi" w:cstheme="minorHAnsi"/>
          <w:sz w:val="22"/>
          <w:szCs w:val="22"/>
        </w:rPr>
        <w:t xml:space="preserve">),  </w:t>
      </w:r>
      <w:r w:rsidR="00E1088C">
        <w:rPr>
          <w:rFonts w:asciiTheme="minorHAnsi" w:hAnsiTheme="minorHAnsi" w:cstheme="minorHAnsi"/>
          <w:sz w:val="22"/>
          <w:szCs w:val="22"/>
        </w:rPr>
        <w:t>i članka 82</w:t>
      </w:r>
      <w:r w:rsidR="00E1088C" w:rsidRPr="00F52A10">
        <w:rPr>
          <w:rFonts w:asciiTheme="minorHAnsi" w:hAnsiTheme="minorHAnsi" w:cstheme="minorHAnsi"/>
          <w:sz w:val="22"/>
          <w:szCs w:val="22"/>
        </w:rPr>
        <w:t xml:space="preserve">. Statuta Općine Luka („Glasnik Zagrebačke županije“, broj 24/18) Općinsko vijeće Općine Luka na svojoj </w:t>
      </w:r>
      <w:r w:rsidR="00E1088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---------</w:t>
      </w:r>
      <w:r w:rsidR="00E1088C">
        <w:rPr>
          <w:rFonts w:asciiTheme="minorHAnsi" w:hAnsiTheme="minorHAnsi" w:cstheme="minorHAnsi"/>
          <w:sz w:val="22"/>
          <w:szCs w:val="22"/>
        </w:rPr>
        <w:t xml:space="preserve"> </w:t>
      </w:r>
      <w:r w:rsidR="00E1088C" w:rsidRPr="00F52A10">
        <w:rPr>
          <w:rFonts w:asciiTheme="minorHAnsi" w:hAnsiTheme="minorHAnsi" w:cstheme="minorHAnsi"/>
          <w:sz w:val="22"/>
          <w:szCs w:val="22"/>
        </w:rPr>
        <w:t xml:space="preserve">sjednici održanoj dana </w:t>
      </w:r>
      <w:r>
        <w:rPr>
          <w:rFonts w:asciiTheme="minorHAnsi" w:hAnsiTheme="minorHAnsi" w:cstheme="minorHAnsi"/>
          <w:sz w:val="22"/>
          <w:szCs w:val="22"/>
        </w:rPr>
        <w:t>-----------</w:t>
      </w:r>
      <w:r w:rsidR="00A6478F">
        <w:rPr>
          <w:rFonts w:asciiTheme="minorHAnsi" w:hAnsiTheme="minorHAnsi" w:cstheme="minorHAnsi"/>
          <w:sz w:val="22"/>
          <w:szCs w:val="22"/>
        </w:rPr>
        <w:t>.</w:t>
      </w:r>
      <w:r w:rsidR="00E1088C">
        <w:rPr>
          <w:rFonts w:asciiTheme="minorHAnsi" w:hAnsiTheme="minorHAnsi" w:cstheme="minorHAnsi"/>
          <w:sz w:val="22"/>
          <w:szCs w:val="22"/>
        </w:rPr>
        <w:t xml:space="preserve"> </w:t>
      </w:r>
      <w:r w:rsidR="00E1088C" w:rsidRPr="00F52A10">
        <w:rPr>
          <w:rFonts w:asciiTheme="minorHAnsi" w:hAnsiTheme="minorHAnsi" w:cstheme="minorHAnsi"/>
          <w:sz w:val="22"/>
          <w:szCs w:val="22"/>
        </w:rPr>
        <w:t>godine donosi</w:t>
      </w:r>
    </w:p>
    <w:p w:rsidR="00E1088C" w:rsidRDefault="00E1088C" w:rsidP="00E1088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1088C" w:rsidRDefault="00E1088C" w:rsidP="00E1088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6478F" w:rsidRDefault="00A6478F" w:rsidP="00E1088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1088C" w:rsidRPr="00F52A10" w:rsidRDefault="00E1088C" w:rsidP="00E1088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E1088C" w:rsidRPr="00F52A10" w:rsidRDefault="00E1088C" w:rsidP="00E1088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 xml:space="preserve">o </w:t>
      </w:r>
      <w:r>
        <w:rPr>
          <w:rFonts w:asciiTheme="minorHAnsi" w:hAnsiTheme="minorHAnsi" w:cstheme="minorHAnsi"/>
          <w:b/>
          <w:sz w:val="22"/>
          <w:szCs w:val="22"/>
        </w:rPr>
        <w:t xml:space="preserve">dopuni Odluke o </w:t>
      </w:r>
      <w:r w:rsidRPr="00F52A10">
        <w:rPr>
          <w:rFonts w:asciiTheme="minorHAnsi" w:hAnsiTheme="minorHAnsi" w:cstheme="minorHAnsi"/>
          <w:b/>
          <w:sz w:val="22"/>
          <w:szCs w:val="22"/>
        </w:rPr>
        <w:t>proglašenju statusa nerazvrstane ceste – javnog dobra u općoj uporabi</w:t>
      </w:r>
      <w:r>
        <w:rPr>
          <w:rFonts w:asciiTheme="minorHAnsi" w:hAnsiTheme="minorHAnsi" w:cstheme="minorHAnsi"/>
          <w:b/>
          <w:sz w:val="22"/>
          <w:szCs w:val="22"/>
        </w:rPr>
        <w:t xml:space="preserve"> LAZI I.</w:t>
      </w:r>
    </w:p>
    <w:p w:rsidR="00E1088C" w:rsidRDefault="00E1088C" w:rsidP="00E1088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A6478F" w:rsidRDefault="00A6478F" w:rsidP="00E1088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1088C" w:rsidRPr="00F52A10" w:rsidRDefault="00E1088C" w:rsidP="00E1088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1088C" w:rsidRPr="00F52A10" w:rsidRDefault="00E1088C" w:rsidP="00E1088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E1088C" w:rsidRPr="00A6478F" w:rsidRDefault="00E1088C" w:rsidP="008943FC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 w:rsidRPr="00A6478F">
        <w:rPr>
          <w:rFonts w:asciiTheme="minorHAnsi" w:hAnsiTheme="minorHAnsi" w:cstheme="minorHAnsi"/>
          <w:sz w:val="22"/>
          <w:szCs w:val="22"/>
        </w:rPr>
        <w:t xml:space="preserve"> U Odluci o proglašenju statusa nerazvrstane ceste – javnog dobra u općoj uporabi LAZI I. – </w:t>
      </w:r>
      <w:r w:rsidR="00AB641E">
        <w:rPr>
          <w:rFonts w:asciiTheme="minorHAnsi" w:hAnsiTheme="minorHAnsi" w:cstheme="minorHAnsi"/>
          <w:sz w:val="22"/>
          <w:szCs w:val="22"/>
        </w:rPr>
        <w:t>(„Glasnik Za</w:t>
      </w:r>
      <w:r w:rsidR="00AF59EB">
        <w:rPr>
          <w:rFonts w:asciiTheme="minorHAnsi" w:hAnsiTheme="minorHAnsi" w:cstheme="minorHAnsi"/>
          <w:sz w:val="22"/>
          <w:szCs w:val="22"/>
        </w:rPr>
        <w:t>grebačke županije“, broj 29/21,</w:t>
      </w:r>
      <w:r w:rsidR="00AB641E">
        <w:rPr>
          <w:rFonts w:asciiTheme="minorHAnsi" w:hAnsiTheme="minorHAnsi" w:cstheme="minorHAnsi"/>
          <w:sz w:val="22"/>
          <w:szCs w:val="22"/>
        </w:rPr>
        <w:t xml:space="preserve"> 5/22</w:t>
      </w:r>
      <w:r w:rsidR="00AF59EB">
        <w:rPr>
          <w:rFonts w:asciiTheme="minorHAnsi" w:hAnsiTheme="minorHAnsi" w:cstheme="minorHAnsi"/>
          <w:sz w:val="22"/>
          <w:szCs w:val="22"/>
        </w:rPr>
        <w:t xml:space="preserve"> i 4/23</w:t>
      </w:r>
      <w:r w:rsidR="00AB641E">
        <w:rPr>
          <w:rFonts w:asciiTheme="minorHAnsi" w:hAnsiTheme="minorHAnsi" w:cstheme="minorHAnsi"/>
          <w:sz w:val="22"/>
          <w:szCs w:val="22"/>
        </w:rPr>
        <w:t>)</w:t>
      </w:r>
      <w:r w:rsidRPr="00A6478F">
        <w:rPr>
          <w:rFonts w:asciiTheme="minorHAnsi" w:hAnsiTheme="minorHAnsi" w:cstheme="minorHAnsi"/>
          <w:sz w:val="22"/>
          <w:szCs w:val="22"/>
        </w:rPr>
        <w:t xml:space="preserve"> u članku 1. stavku 2. nakon brojk</w:t>
      </w:r>
      <w:r w:rsidR="00AF59EB">
        <w:rPr>
          <w:rFonts w:asciiTheme="minorHAnsi" w:hAnsiTheme="minorHAnsi" w:cstheme="minorHAnsi"/>
          <w:sz w:val="22"/>
          <w:szCs w:val="22"/>
        </w:rPr>
        <w:t>e „408</w:t>
      </w:r>
      <w:r w:rsidRPr="00A6478F">
        <w:rPr>
          <w:rFonts w:asciiTheme="minorHAnsi" w:hAnsiTheme="minorHAnsi" w:cstheme="minorHAnsi"/>
          <w:sz w:val="22"/>
          <w:szCs w:val="22"/>
        </w:rPr>
        <w:t>4</w:t>
      </w:r>
      <w:r w:rsidR="00AF59EB">
        <w:rPr>
          <w:rFonts w:asciiTheme="minorHAnsi" w:hAnsiTheme="minorHAnsi" w:cstheme="minorHAnsi"/>
          <w:sz w:val="22"/>
          <w:szCs w:val="22"/>
        </w:rPr>
        <w:t>/4</w:t>
      </w:r>
      <w:r w:rsidRPr="00A6478F">
        <w:rPr>
          <w:rFonts w:asciiTheme="minorHAnsi" w:hAnsiTheme="minorHAnsi" w:cstheme="minorHAnsi"/>
          <w:sz w:val="22"/>
          <w:szCs w:val="22"/>
        </w:rPr>
        <w:t>“ dodaju se brojke: „</w:t>
      </w:r>
      <w:r w:rsidR="00AF59EB">
        <w:rPr>
          <w:rFonts w:asciiTheme="minorHAnsi" w:hAnsiTheme="minorHAnsi" w:cstheme="minorHAnsi"/>
          <w:b/>
          <w:bCs/>
        </w:rPr>
        <w:t>3996/7, 3996/8, 4002/7 i 4002/8</w:t>
      </w:r>
      <w:r w:rsidRPr="00A6478F">
        <w:rPr>
          <w:rFonts w:asciiTheme="minorHAnsi" w:hAnsiTheme="minorHAnsi" w:cstheme="minorHAnsi"/>
          <w:b/>
          <w:bCs/>
        </w:rPr>
        <w:t xml:space="preserve"> „.</w:t>
      </w:r>
    </w:p>
    <w:p w:rsidR="00E1088C" w:rsidRDefault="00E1088C" w:rsidP="00E1088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1088C" w:rsidRDefault="00E1088C" w:rsidP="00E1088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1088C" w:rsidRDefault="00E1088C" w:rsidP="00E1088C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D50FF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E1088C" w:rsidRDefault="00E1088C" w:rsidP="00E1088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Ova Odluka stupa na snagu osmog dana od dana objave.</w:t>
      </w:r>
    </w:p>
    <w:p w:rsidR="00E1088C" w:rsidRDefault="00E1088C" w:rsidP="00E1088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8943FC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Ova Odluka objaviti će se u „Glasniku Zagrebačke županije“.</w:t>
      </w:r>
    </w:p>
    <w:p w:rsidR="00E1088C" w:rsidRDefault="00E1088C" w:rsidP="00E1088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1088C" w:rsidRDefault="00E1088C" w:rsidP="00E1088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1088C" w:rsidRDefault="00E1088C" w:rsidP="00E1088C">
      <w:pPr>
        <w:tabs>
          <w:tab w:val="left" w:pos="405"/>
        </w:tabs>
        <w:ind w:firstLine="552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OPĆINSKO VIJEĆE</w:t>
      </w:r>
    </w:p>
    <w:p w:rsidR="00E1088C" w:rsidRDefault="00E1088C" w:rsidP="00E1088C">
      <w:pPr>
        <w:tabs>
          <w:tab w:val="left" w:pos="405"/>
        </w:tabs>
        <w:ind w:firstLine="552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Predsjednik</w:t>
      </w:r>
    </w:p>
    <w:p w:rsidR="00E1088C" w:rsidRPr="0060654E" w:rsidRDefault="00E1088C" w:rsidP="00E1088C">
      <w:pPr>
        <w:tabs>
          <w:tab w:val="left" w:pos="405"/>
        </w:tabs>
        <w:ind w:firstLine="552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Krešimir Tuđman, </w:t>
      </w:r>
      <w:proofErr w:type="spellStart"/>
      <w:r>
        <w:rPr>
          <w:rFonts w:asciiTheme="minorHAnsi" w:hAnsiTheme="minorHAnsi" w:cstheme="minorHAnsi"/>
          <w:sz w:val="22"/>
          <w:szCs w:val="22"/>
        </w:rPr>
        <w:t>struč.spec.ing.aedif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:rsidR="00E1088C" w:rsidRPr="0060654E" w:rsidRDefault="00E1088C" w:rsidP="00E1088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1088C" w:rsidRDefault="00E1088C" w:rsidP="004948A9">
      <w:pPr>
        <w:rPr>
          <w:rFonts w:ascii="Calibri" w:hAnsi="Calibri" w:cs="Calibri"/>
        </w:rPr>
      </w:pPr>
      <w:bookmarkStart w:id="0" w:name="_GoBack"/>
      <w:bookmarkEnd w:id="0"/>
    </w:p>
    <w:sectPr w:rsidR="00E1088C" w:rsidSect="009F7D7E"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8A9"/>
    <w:rsid w:val="004948A9"/>
    <w:rsid w:val="005E1F8F"/>
    <w:rsid w:val="008943FC"/>
    <w:rsid w:val="009F7D7E"/>
    <w:rsid w:val="00A6478F"/>
    <w:rsid w:val="00AB641E"/>
    <w:rsid w:val="00AC38C8"/>
    <w:rsid w:val="00AF59EB"/>
    <w:rsid w:val="00E1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C2CBDA-E471-4ED0-A41B-09AA66C59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9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7</cp:revision>
  <dcterms:created xsi:type="dcterms:W3CDTF">2022-12-21T14:07:00Z</dcterms:created>
  <dcterms:modified xsi:type="dcterms:W3CDTF">2023-03-09T14:04:00Z</dcterms:modified>
</cp:coreProperties>
</file>